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D1" w:rsidRPr="00212113" w:rsidRDefault="009868D1" w:rsidP="009868D1">
      <w:pPr>
        <w:jc w:val="center"/>
        <w:rPr>
          <w:b/>
          <w:sz w:val="26"/>
          <w:szCs w:val="26"/>
        </w:rPr>
      </w:pPr>
    </w:p>
    <w:p w:rsidR="009868D1" w:rsidRPr="00212113" w:rsidRDefault="009868D1" w:rsidP="009868D1">
      <w:pPr>
        <w:jc w:val="center"/>
        <w:rPr>
          <w:b/>
          <w:sz w:val="26"/>
          <w:szCs w:val="26"/>
        </w:rPr>
      </w:pPr>
      <w:r w:rsidRPr="00212113">
        <w:rPr>
          <w:b/>
          <w:sz w:val="26"/>
          <w:szCs w:val="26"/>
        </w:rPr>
        <w:t xml:space="preserve">ЗАКЛЮЧЕНИЕ </w:t>
      </w:r>
    </w:p>
    <w:p w:rsidR="009868D1" w:rsidRPr="00212113" w:rsidRDefault="009868D1" w:rsidP="009868D1">
      <w:pPr>
        <w:jc w:val="center"/>
        <w:rPr>
          <w:b/>
          <w:sz w:val="26"/>
          <w:szCs w:val="26"/>
        </w:rPr>
      </w:pPr>
      <w:r w:rsidRPr="00212113">
        <w:rPr>
          <w:b/>
          <w:sz w:val="26"/>
          <w:szCs w:val="26"/>
        </w:rPr>
        <w:t>на отчет об исполнении районного  бюджета за 1 квартал 201</w:t>
      </w:r>
      <w:r w:rsidR="00894DA1">
        <w:rPr>
          <w:b/>
          <w:sz w:val="26"/>
          <w:szCs w:val="26"/>
        </w:rPr>
        <w:t>8</w:t>
      </w:r>
      <w:r w:rsidRPr="00212113">
        <w:rPr>
          <w:b/>
          <w:sz w:val="26"/>
          <w:szCs w:val="26"/>
        </w:rPr>
        <w:t xml:space="preserve"> года</w:t>
      </w:r>
    </w:p>
    <w:p w:rsidR="009868D1" w:rsidRPr="00212113" w:rsidRDefault="009868D1" w:rsidP="009868D1">
      <w:pPr>
        <w:jc w:val="center"/>
        <w:rPr>
          <w:b/>
          <w:sz w:val="26"/>
          <w:szCs w:val="26"/>
        </w:rPr>
      </w:pPr>
    </w:p>
    <w:p w:rsidR="009868D1" w:rsidRPr="00212113" w:rsidRDefault="009868D1" w:rsidP="009868D1">
      <w:pPr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                                                                                          18.</w:t>
      </w:r>
      <w:r w:rsidR="00894DA1">
        <w:rPr>
          <w:sz w:val="26"/>
          <w:szCs w:val="26"/>
        </w:rPr>
        <w:t>04</w:t>
      </w:r>
      <w:r w:rsidRPr="00212113">
        <w:rPr>
          <w:sz w:val="26"/>
          <w:szCs w:val="26"/>
        </w:rPr>
        <w:t>.201</w:t>
      </w:r>
      <w:r w:rsidR="00894DA1">
        <w:rPr>
          <w:sz w:val="26"/>
          <w:szCs w:val="26"/>
        </w:rPr>
        <w:t>8</w:t>
      </w:r>
    </w:p>
    <w:p w:rsidR="009868D1" w:rsidRPr="00212113" w:rsidRDefault="009868D1" w:rsidP="009868D1">
      <w:pPr>
        <w:spacing w:before="100" w:beforeAutospacing="1" w:after="100" w:afterAutospacing="1"/>
        <w:ind w:firstLine="375"/>
        <w:jc w:val="both"/>
        <w:rPr>
          <w:sz w:val="26"/>
          <w:szCs w:val="26"/>
        </w:rPr>
      </w:pPr>
      <w:r w:rsidRPr="00212113">
        <w:rPr>
          <w:color w:val="333333"/>
          <w:sz w:val="26"/>
          <w:szCs w:val="26"/>
        </w:rPr>
        <w:t>Заключение КСК района  на отчет об исполнении районного бюджета за 1 квартал 201</w:t>
      </w:r>
      <w:r w:rsidR="00894DA1">
        <w:rPr>
          <w:color w:val="333333"/>
          <w:sz w:val="26"/>
          <w:szCs w:val="26"/>
        </w:rPr>
        <w:t>8</w:t>
      </w:r>
      <w:r w:rsidRPr="00212113">
        <w:rPr>
          <w:color w:val="333333"/>
          <w:sz w:val="26"/>
          <w:szCs w:val="26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9868D1" w:rsidRPr="00212113" w:rsidRDefault="009868D1" w:rsidP="009868D1">
      <w:pPr>
        <w:spacing w:before="100" w:beforeAutospacing="1" w:after="100" w:afterAutospacing="1"/>
        <w:ind w:firstLine="375"/>
        <w:jc w:val="both"/>
        <w:rPr>
          <w:color w:val="333333"/>
          <w:sz w:val="26"/>
          <w:szCs w:val="26"/>
        </w:rPr>
      </w:pPr>
      <w:r w:rsidRPr="00212113">
        <w:rPr>
          <w:color w:val="333333"/>
          <w:sz w:val="26"/>
          <w:szCs w:val="26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9868D1" w:rsidRPr="00212113" w:rsidRDefault="009868D1" w:rsidP="009868D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proofErr w:type="gramStart"/>
      <w:r w:rsidRPr="00212113">
        <w:rPr>
          <w:sz w:val="26"/>
          <w:szCs w:val="26"/>
        </w:rPr>
        <w:t>В соответствии с решением Представительного Собрания района от 19.08.2003 №145 «О бюджетном процессе в Белозерском муниципальном районе» (с учетом изменений и дополнений)  отчет об исполнении районного бюджета за первый квартал, полугодие и девять месяцев текущего финансового года с приложениями и пояснительной запиской предоставляется в Представительное Собрание района  и контрольно-счетную комиссию района (далее – КСК района).</w:t>
      </w:r>
      <w:proofErr w:type="gramEnd"/>
    </w:p>
    <w:p w:rsidR="009868D1" w:rsidRPr="00212113" w:rsidRDefault="009868D1" w:rsidP="009868D1">
      <w:pPr>
        <w:pStyle w:val="Style8"/>
        <w:widowControl/>
        <w:spacing w:line="240" w:lineRule="auto"/>
        <w:ind w:firstLine="709"/>
        <w:rPr>
          <w:sz w:val="26"/>
          <w:szCs w:val="26"/>
        </w:rPr>
      </w:pPr>
      <w:r w:rsidRPr="00212113">
        <w:rPr>
          <w:sz w:val="26"/>
          <w:szCs w:val="26"/>
        </w:rPr>
        <w:t>Отчет об исполнении районного бюджета за 1 квартал 201</w:t>
      </w:r>
      <w:r w:rsidR="00894DA1">
        <w:rPr>
          <w:sz w:val="26"/>
          <w:szCs w:val="26"/>
        </w:rPr>
        <w:t>8</w:t>
      </w:r>
      <w:r w:rsidRPr="00212113">
        <w:rPr>
          <w:sz w:val="26"/>
          <w:szCs w:val="26"/>
        </w:rPr>
        <w:t xml:space="preserve"> года  (далее – отчет об исполнении бюджета) утвержден постановлением администрации Белозерского муниципального района от </w:t>
      </w:r>
      <w:r w:rsidR="00894DA1">
        <w:rPr>
          <w:sz w:val="26"/>
          <w:szCs w:val="26"/>
        </w:rPr>
        <w:t>11.04.2018</w:t>
      </w:r>
      <w:r w:rsidRPr="00212113">
        <w:rPr>
          <w:sz w:val="26"/>
          <w:szCs w:val="26"/>
        </w:rPr>
        <w:t xml:space="preserve"> №1</w:t>
      </w:r>
      <w:r w:rsidR="00894DA1">
        <w:rPr>
          <w:sz w:val="26"/>
          <w:szCs w:val="26"/>
        </w:rPr>
        <w:t>69</w:t>
      </w:r>
      <w:r w:rsidRPr="00212113">
        <w:rPr>
          <w:sz w:val="26"/>
          <w:szCs w:val="26"/>
        </w:rPr>
        <w:t xml:space="preserve"> и представлен в КСК района  в соответствии с п. 4 статьи 5.1 Положения  «О бюджетном процессе в Белозерском муниципальном районе».</w:t>
      </w:r>
    </w:p>
    <w:p w:rsidR="009868D1" w:rsidRPr="00212113" w:rsidRDefault="009868D1" w:rsidP="009868D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212113">
        <w:rPr>
          <w:sz w:val="26"/>
          <w:szCs w:val="26"/>
        </w:rPr>
        <w:t>Анализ отчета об исполнении бюджета проведен КСК района в следующих целях:</w:t>
      </w:r>
    </w:p>
    <w:p w:rsidR="009868D1" w:rsidRPr="00212113" w:rsidRDefault="009868D1" w:rsidP="009868D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212113">
        <w:rPr>
          <w:sz w:val="26"/>
          <w:szCs w:val="26"/>
        </w:rPr>
        <w:t>сопоставления исполненных показателей районного бюджета за 1 квартал 201</w:t>
      </w:r>
      <w:r w:rsidR="00894DA1">
        <w:rPr>
          <w:sz w:val="26"/>
          <w:szCs w:val="26"/>
        </w:rPr>
        <w:t>8</w:t>
      </w:r>
      <w:r w:rsidRPr="00212113">
        <w:rPr>
          <w:sz w:val="26"/>
          <w:szCs w:val="26"/>
        </w:rPr>
        <w:t xml:space="preserve"> года с годовыми назначениями, а также с показателями за аналогичный период предыдущего года;</w:t>
      </w:r>
    </w:p>
    <w:p w:rsidR="009868D1" w:rsidRPr="00212113" w:rsidRDefault="009868D1" w:rsidP="009868D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212113">
        <w:rPr>
          <w:sz w:val="26"/>
          <w:szCs w:val="26"/>
        </w:rPr>
        <w:t>выявления возможных несоответствий (нарушений) и подготовки предложений, направленных на их устранение.</w:t>
      </w:r>
    </w:p>
    <w:p w:rsidR="009868D1" w:rsidRPr="00212113" w:rsidRDefault="009868D1" w:rsidP="009868D1">
      <w:pPr>
        <w:pStyle w:val="a5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868D1" w:rsidRPr="00212113" w:rsidRDefault="009868D1" w:rsidP="009868D1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113">
        <w:rPr>
          <w:rFonts w:ascii="Times New Roman" w:hAnsi="Times New Roman" w:cs="Times New Roman"/>
          <w:b/>
          <w:sz w:val="26"/>
          <w:szCs w:val="26"/>
        </w:rPr>
        <w:t>Общая характеристика районного бюджета</w:t>
      </w:r>
    </w:p>
    <w:p w:rsidR="009868D1" w:rsidRPr="00212113" w:rsidRDefault="009868D1" w:rsidP="009868D1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8D1" w:rsidRPr="00212113" w:rsidRDefault="009868D1" w:rsidP="009868D1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8D1" w:rsidRPr="00212113" w:rsidRDefault="009868D1" w:rsidP="009868D1">
      <w:pPr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Отчет об исполнении районного бюджета составлен в форме приложений: 1 – по доходам районного бюджета, 2 – по расходам  бюджета по разделам, подразделам классификации расходов, 3 – по источникам внутреннего финансирования дефицита районного бюджета.</w:t>
      </w:r>
    </w:p>
    <w:p w:rsidR="009868D1" w:rsidRPr="00212113" w:rsidRDefault="009868D1" w:rsidP="002C355E">
      <w:pPr>
        <w:spacing w:before="100" w:beforeAutospacing="1"/>
        <w:ind w:firstLine="375"/>
        <w:jc w:val="both"/>
        <w:rPr>
          <w:color w:val="333333"/>
          <w:sz w:val="26"/>
          <w:szCs w:val="26"/>
        </w:rPr>
      </w:pPr>
      <w:r w:rsidRPr="00212113">
        <w:rPr>
          <w:color w:val="333333"/>
          <w:sz w:val="26"/>
          <w:szCs w:val="26"/>
        </w:rPr>
        <w:t>Основные характеристики  районного бюджета на 201</w:t>
      </w:r>
      <w:r w:rsidR="00894DA1">
        <w:rPr>
          <w:color w:val="333333"/>
          <w:sz w:val="26"/>
          <w:szCs w:val="26"/>
        </w:rPr>
        <w:t>8</w:t>
      </w:r>
      <w:r w:rsidRPr="00212113">
        <w:rPr>
          <w:color w:val="333333"/>
          <w:sz w:val="26"/>
          <w:szCs w:val="26"/>
        </w:rPr>
        <w:t xml:space="preserve"> год утверждены решением  Представительного Собрания района </w:t>
      </w:r>
      <w:r w:rsidR="00EB4323">
        <w:rPr>
          <w:color w:val="333333"/>
          <w:sz w:val="26"/>
          <w:szCs w:val="26"/>
        </w:rPr>
        <w:t xml:space="preserve">от </w:t>
      </w:r>
      <w:r w:rsidR="00894DA1">
        <w:rPr>
          <w:color w:val="333333"/>
          <w:sz w:val="26"/>
          <w:szCs w:val="26"/>
        </w:rPr>
        <w:t>25.12.2017</w:t>
      </w:r>
      <w:r w:rsidRPr="00212113">
        <w:rPr>
          <w:color w:val="333333"/>
          <w:sz w:val="26"/>
          <w:szCs w:val="26"/>
        </w:rPr>
        <w:t xml:space="preserve">  №1</w:t>
      </w:r>
      <w:r w:rsidR="00894DA1">
        <w:rPr>
          <w:color w:val="333333"/>
          <w:sz w:val="26"/>
          <w:szCs w:val="26"/>
        </w:rPr>
        <w:t>08</w:t>
      </w:r>
      <w:r w:rsidRPr="00212113">
        <w:rPr>
          <w:color w:val="333333"/>
          <w:sz w:val="26"/>
          <w:szCs w:val="26"/>
        </w:rPr>
        <w:t>. Изменения в решение Представительного Собрания района  «</w:t>
      </w:r>
      <w:proofErr w:type="gramStart"/>
      <w:r w:rsidRPr="00212113">
        <w:rPr>
          <w:color w:val="333333"/>
          <w:sz w:val="26"/>
          <w:szCs w:val="26"/>
        </w:rPr>
        <w:t>О</w:t>
      </w:r>
      <w:proofErr w:type="gramEnd"/>
      <w:r w:rsidRPr="00212113">
        <w:rPr>
          <w:color w:val="333333"/>
          <w:sz w:val="26"/>
          <w:szCs w:val="26"/>
        </w:rPr>
        <w:t xml:space="preserve"> </w:t>
      </w:r>
      <w:proofErr w:type="gramStart"/>
      <w:r w:rsidRPr="00212113">
        <w:rPr>
          <w:color w:val="333333"/>
          <w:sz w:val="26"/>
          <w:szCs w:val="26"/>
        </w:rPr>
        <w:t>районом</w:t>
      </w:r>
      <w:proofErr w:type="gramEnd"/>
      <w:r w:rsidRPr="00212113">
        <w:rPr>
          <w:color w:val="333333"/>
          <w:sz w:val="26"/>
          <w:szCs w:val="26"/>
        </w:rPr>
        <w:t xml:space="preserve">  бюджете на 201</w:t>
      </w:r>
      <w:r w:rsidR="00894DA1">
        <w:rPr>
          <w:color w:val="333333"/>
          <w:sz w:val="26"/>
          <w:szCs w:val="26"/>
        </w:rPr>
        <w:t>8</w:t>
      </w:r>
      <w:r w:rsidRPr="00212113">
        <w:rPr>
          <w:color w:val="333333"/>
          <w:sz w:val="26"/>
          <w:szCs w:val="26"/>
        </w:rPr>
        <w:t xml:space="preserve"> год и плановый период 201</w:t>
      </w:r>
      <w:r w:rsidR="00894DA1">
        <w:rPr>
          <w:color w:val="333333"/>
          <w:sz w:val="26"/>
          <w:szCs w:val="26"/>
        </w:rPr>
        <w:t>9</w:t>
      </w:r>
      <w:r w:rsidRPr="00212113">
        <w:rPr>
          <w:color w:val="333333"/>
          <w:sz w:val="26"/>
          <w:szCs w:val="26"/>
        </w:rPr>
        <w:t>-20</w:t>
      </w:r>
      <w:r w:rsidR="00894DA1">
        <w:rPr>
          <w:color w:val="333333"/>
          <w:sz w:val="26"/>
          <w:szCs w:val="26"/>
        </w:rPr>
        <w:t>20</w:t>
      </w:r>
      <w:r w:rsidRPr="00212113">
        <w:rPr>
          <w:color w:val="333333"/>
          <w:sz w:val="26"/>
          <w:szCs w:val="26"/>
        </w:rPr>
        <w:t xml:space="preserve"> годов»   в  201</w:t>
      </w:r>
      <w:r w:rsidR="00894DA1">
        <w:rPr>
          <w:color w:val="333333"/>
          <w:sz w:val="26"/>
          <w:szCs w:val="26"/>
        </w:rPr>
        <w:t>8</w:t>
      </w:r>
      <w:r w:rsidRPr="00212113">
        <w:rPr>
          <w:color w:val="333333"/>
          <w:sz w:val="26"/>
          <w:szCs w:val="26"/>
        </w:rPr>
        <w:t xml:space="preserve"> году внесены </w:t>
      </w:r>
      <w:r w:rsidR="00894DA1">
        <w:rPr>
          <w:color w:val="333333"/>
          <w:sz w:val="26"/>
          <w:szCs w:val="26"/>
        </w:rPr>
        <w:t>3</w:t>
      </w:r>
      <w:r w:rsidRPr="00212113">
        <w:rPr>
          <w:color w:val="333333"/>
          <w:sz w:val="26"/>
          <w:szCs w:val="26"/>
        </w:rPr>
        <w:t xml:space="preserve"> раза  (решения Представительного Собрания района от </w:t>
      </w:r>
      <w:r w:rsidR="00894DA1">
        <w:rPr>
          <w:color w:val="333333"/>
          <w:sz w:val="26"/>
          <w:szCs w:val="26"/>
        </w:rPr>
        <w:t>30.01.2018 №4; от 26.02.2018 №18; от</w:t>
      </w:r>
      <w:r w:rsidR="002C355E">
        <w:rPr>
          <w:color w:val="333333"/>
          <w:sz w:val="26"/>
          <w:szCs w:val="26"/>
        </w:rPr>
        <w:t xml:space="preserve"> </w:t>
      </w:r>
      <w:r w:rsidR="00894DA1">
        <w:rPr>
          <w:color w:val="333333"/>
          <w:sz w:val="26"/>
          <w:szCs w:val="26"/>
        </w:rPr>
        <w:t>27.03.2018 №23</w:t>
      </w:r>
      <w:r w:rsidRPr="00212113">
        <w:rPr>
          <w:color w:val="333333"/>
          <w:sz w:val="26"/>
          <w:szCs w:val="26"/>
        </w:rPr>
        <w:t xml:space="preserve">) и повлекли изменения основных параметров районного бюджета. </w:t>
      </w:r>
      <w:r w:rsidRPr="00212113">
        <w:rPr>
          <w:color w:val="333333"/>
          <w:sz w:val="26"/>
          <w:szCs w:val="26"/>
        </w:rPr>
        <w:lastRenderedPageBreak/>
        <w:t xml:space="preserve">Объем доходов районного бюджета увеличен на </w:t>
      </w:r>
      <w:r w:rsidR="00894DA1">
        <w:rPr>
          <w:color w:val="333333"/>
          <w:sz w:val="26"/>
          <w:szCs w:val="26"/>
        </w:rPr>
        <w:t>14775,9</w:t>
      </w:r>
      <w:r w:rsidRPr="00212113">
        <w:rPr>
          <w:color w:val="333333"/>
          <w:sz w:val="26"/>
          <w:szCs w:val="26"/>
        </w:rPr>
        <w:t xml:space="preserve">  тыс. рублей  или на </w:t>
      </w:r>
      <w:r w:rsidR="00BD61B0">
        <w:rPr>
          <w:color w:val="333333"/>
          <w:sz w:val="26"/>
          <w:szCs w:val="26"/>
        </w:rPr>
        <w:t>4,2</w:t>
      </w:r>
      <w:r w:rsidRPr="00212113">
        <w:rPr>
          <w:color w:val="333333"/>
          <w:sz w:val="26"/>
          <w:szCs w:val="26"/>
        </w:rPr>
        <w:t xml:space="preserve">%, объем расходов  увеличен  на </w:t>
      </w:r>
      <w:r w:rsidR="00894DA1">
        <w:rPr>
          <w:color w:val="333333"/>
          <w:sz w:val="26"/>
          <w:szCs w:val="26"/>
        </w:rPr>
        <w:t>17152,6</w:t>
      </w:r>
      <w:r w:rsidRPr="00212113">
        <w:rPr>
          <w:color w:val="333333"/>
          <w:sz w:val="26"/>
          <w:szCs w:val="26"/>
        </w:rPr>
        <w:t xml:space="preserve">  тыс. рублей или на </w:t>
      </w:r>
      <w:r w:rsidR="00BD61B0">
        <w:rPr>
          <w:color w:val="333333"/>
          <w:sz w:val="26"/>
          <w:szCs w:val="26"/>
        </w:rPr>
        <w:t>4,9</w:t>
      </w:r>
      <w:r w:rsidRPr="00212113">
        <w:rPr>
          <w:color w:val="333333"/>
          <w:sz w:val="26"/>
          <w:szCs w:val="26"/>
        </w:rPr>
        <w:t xml:space="preserve">%,   районный бюджет спланирован  с профицитом  в сумме </w:t>
      </w:r>
      <w:r w:rsidR="00BD61B0">
        <w:rPr>
          <w:color w:val="333333"/>
          <w:sz w:val="26"/>
          <w:szCs w:val="26"/>
        </w:rPr>
        <w:t>1623,3</w:t>
      </w:r>
      <w:r w:rsidRPr="00212113">
        <w:rPr>
          <w:color w:val="333333"/>
          <w:sz w:val="26"/>
          <w:szCs w:val="26"/>
        </w:rPr>
        <w:t xml:space="preserve"> тыс. рублей.</w:t>
      </w:r>
    </w:p>
    <w:p w:rsidR="009868D1" w:rsidRPr="00212113" w:rsidRDefault="009868D1" w:rsidP="009868D1">
      <w:pPr>
        <w:ind w:firstLine="375"/>
        <w:jc w:val="both"/>
        <w:rPr>
          <w:color w:val="333333"/>
          <w:sz w:val="26"/>
          <w:szCs w:val="26"/>
        </w:rPr>
      </w:pPr>
      <w:r w:rsidRPr="00212113">
        <w:rPr>
          <w:color w:val="333333"/>
          <w:sz w:val="26"/>
          <w:szCs w:val="26"/>
        </w:rPr>
        <w:t>В отчете об исполнении районного бюджета за 1 квартал 201</w:t>
      </w:r>
      <w:r w:rsidR="00BD61B0">
        <w:rPr>
          <w:color w:val="333333"/>
          <w:sz w:val="26"/>
          <w:szCs w:val="26"/>
        </w:rPr>
        <w:t>8</w:t>
      </w:r>
      <w:r w:rsidRPr="00212113">
        <w:rPr>
          <w:color w:val="333333"/>
          <w:sz w:val="26"/>
          <w:szCs w:val="26"/>
        </w:rPr>
        <w:t xml:space="preserve"> года данные по доходам отражены с  учетом средств по переданным полномочиям.</w:t>
      </w:r>
    </w:p>
    <w:p w:rsidR="009868D1" w:rsidRPr="00212113" w:rsidRDefault="009868D1" w:rsidP="009868D1">
      <w:pPr>
        <w:ind w:firstLine="375"/>
        <w:jc w:val="both"/>
        <w:rPr>
          <w:color w:val="333333"/>
          <w:sz w:val="26"/>
          <w:szCs w:val="26"/>
        </w:rPr>
      </w:pPr>
      <w:r w:rsidRPr="00212113">
        <w:rPr>
          <w:color w:val="333333"/>
          <w:sz w:val="26"/>
          <w:szCs w:val="26"/>
        </w:rPr>
        <w:t xml:space="preserve">  За 1 квартал 201</w:t>
      </w:r>
      <w:r w:rsidR="00BD61B0">
        <w:rPr>
          <w:color w:val="333333"/>
          <w:sz w:val="26"/>
          <w:szCs w:val="26"/>
        </w:rPr>
        <w:t>8</w:t>
      </w:r>
      <w:r w:rsidRPr="00212113">
        <w:rPr>
          <w:color w:val="333333"/>
          <w:sz w:val="26"/>
          <w:szCs w:val="26"/>
        </w:rPr>
        <w:t xml:space="preserve"> года доходы районного бюджета составили </w:t>
      </w:r>
      <w:r w:rsidR="00BD61B0">
        <w:rPr>
          <w:color w:val="333333"/>
          <w:sz w:val="26"/>
          <w:szCs w:val="26"/>
        </w:rPr>
        <w:t>79551,0</w:t>
      </w:r>
      <w:r w:rsidRPr="00212113">
        <w:rPr>
          <w:color w:val="333333"/>
          <w:sz w:val="26"/>
          <w:szCs w:val="26"/>
        </w:rPr>
        <w:t xml:space="preserve"> тыс. рублей  или </w:t>
      </w:r>
      <w:r w:rsidR="00BD61B0">
        <w:rPr>
          <w:color w:val="333333"/>
          <w:sz w:val="26"/>
          <w:szCs w:val="26"/>
        </w:rPr>
        <w:t>21,5</w:t>
      </w:r>
      <w:r w:rsidRPr="00212113">
        <w:rPr>
          <w:color w:val="333333"/>
          <w:sz w:val="26"/>
          <w:szCs w:val="26"/>
        </w:rPr>
        <w:t xml:space="preserve">% к годовым назначениям в сумме  </w:t>
      </w:r>
      <w:r w:rsidR="00BD61B0">
        <w:rPr>
          <w:color w:val="333333"/>
          <w:sz w:val="26"/>
          <w:szCs w:val="26"/>
        </w:rPr>
        <w:t>369801,0</w:t>
      </w:r>
      <w:r w:rsidRPr="00212113">
        <w:rPr>
          <w:color w:val="333333"/>
          <w:sz w:val="26"/>
          <w:szCs w:val="26"/>
        </w:rPr>
        <w:t xml:space="preserve"> тыс. руб., в том числе налоговые и неналоговые доходы – </w:t>
      </w:r>
      <w:r w:rsidR="00BD61B0">
        <w:rPr>
          <w:color w:val="333333"/>
          <w:sz w:val="26"/>
          <w:szCs w:val="26"/>
        </w:rPr>
        <w:t>21244,9</w:t>
      </w:r>
      <w:r w:rsidRPr="00212113">
        <w:rPr>
          <w:color w:val="333333"/>
          <w:sz w:val="26"/>
          <w:szCs w:val="26"/>
        </w:rPr>
        <w:t xml:space="preserve"> тыс. рублей или </w:t>
      </w:r>
      <w:r w:rsidR="00BD61B0">
        <w:rPr>
          <w:color w:val="333333"/>
          <w:sz w:val="26"/>
          <w:szCs w:val="26"/>
        </w:rPr>
        <w:t>21,4</w:t>
      </w:r>
      <w:r w:rsidRPr="00212113">
        <w:rPr>
          <w:color w:val="333333"/>
          <w:sz w:val="26"/>
          <w:szCs w:val="26"/>
        </w:rPr>
        <w:t xml:space="preserve">%, безвозмездные поступления – </w:t>
      </w:r>
      <w:r w:rsidR="00BD61B0">
        <w:rPr>
          <w:color w:val="333333"/>
          <w:sz w:val="26"/>
          <w:szCs w:val="26"/>
        </w:rPr>
        <w:t>58306,1</w:t>
      </w:r>
      <w:r w:rsidRPr="00212113">
        <w:rPr>
          <w:color w:val="333333"/>
          <w:sz w:val="26"/>
          <w:szCs w:val="26"/>
        </w:rPr>
        <w:t xml:space="preserve"> тыс. рублей или </w:t>
      </w:r>
      <w:r w:rsidR="00BD61B0">
        <w:rPr>
          <w:color w:val="333333"/>
          <w:sz w:val="26"/>
          <w:szCs w:val="26"/>
        </w:rPr>
        <w:t>21,6</w:t>
      </w:r>
      <w:r w:rsidRPr="00212113">
        <w:rPr>
          <w:color w:val="333333"/>
          <w:sz w:val="26"/>
          <w:szCs w:val="26"/>
        </w:rPr>
        <w:t>% (с учетом переданных полномочий).</w:t>
      </w:r>
    </w:p>
    <w:p w:rsidR="009868D1" w:rsidRPr="00212113" w:rsidRDefault="009868D1" w:rsidP="009868D1">
      <w:pPr>
        <w:spacing w:before="100" w:beforeAutospacing="1" w:after="100" w:afterAutospacing="1"/>
        <w:ind w:firstLine="375"/>
        <w:jc w:val="both"/>
        <w:rPr>
          <w:color w:val="333333"/>
          <w:sz w:val="26"/>
          <w:szCs w:val="26"/>
        </w:rPr>
      </w:pPr>
      <w:r w:rsidRPr="00212113">
        <w:rPr>
          <w:color w:val="333333"/>
          <w:sz w:val="26"/>
          <w:szCs w:val="26"/>
        </w:rPr>
        <w:t xml:space="preserve">Расходы районного бюджета исполнены в сумме  </w:t>
      </w:r>
      <w:r w:rsidR="00BD61B0">
        <w:rPr>
          <w:color w:val="333333"/>
          <w:sz w:val="26"/>
          <w:szCs w:val="26"/>
        </w:rPr>
        <w:t>102437,5</w:t>
      </w:r>
      <w:r w:rsidRPr="00212113">
        <w:rPr>
          <w:color w:val="333333"/>
          <w:sz w:val="26"/>
          <w:szCs w:val="26"/>
        </w:rPr>
        <w:t xml:space="preserve"> тыс. руб. или </w:t>
      </w:r>
      <w:r w:rsidR="00BD61B0">
        <w:rPr>
          <w:color w:val="333333"/>
          <w:sz w:val="26"/>
          <w:szCs w:val="26"/>
        </w:rPr>
        <w:t>27,8</w:t>
      </w:r>
      <w:r w:rsidRPr="00212113">
        <w:rPr>
          <w:color w:val="333333"/>
          <w:sz w:val="26"/>
          <w:szCs w:val="26"/>
        </w:rPr>
        <w:t>% к утвержденным годовым назначениям в сумме 3</w:t>
      </w:r>
      <w:r w:rsidR="00BD61B0">
        <w:rPr>
          <w:color w:val="333333"/>
          <w:sz w:val="26"/>
          <w:szCs w:val="26"/>
        </w:rPr>
        <w:t>68177,7</w:t>
      </w:r>
      <w:r w:rsidRPr="00212113">
        <w:rPr>
          <w:color w:val="333333"/>
          <w:sz w:val="26"/>
          <w:szCs w:val="26"/>
        </w:rPr>
        <w:t xml:space="preserve"> тыс. руб.</w:t>
      </w:r>
    </w:p>
    <w:p w:rsidR="009868D1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</w:rPr>
        <w:t xml:space="preserve">Исполнение основных характеристик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районного</w:t>
      </w:r>
      <w:r w:rsidRPr="00212113">
        <w:rPr>
          <w:rFonts w:ascii="Times New Roman" w:hAnsi="Times New Roman" w:cs="Times New Roman"/>
          <w:sz w:val="26"/>
          <w:szCs w:val="26"/>
        </w:rPr>
        <w:t xml:space="preserve"> бюджета за 1 квартал   201</w:t>
      </w:r>
      <w:r w:rsidR="00BD61B0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12113">
        <w:rPr>
          <w:rFonts w:ascii="Times New Roman" w:hAnsi="Times New Roman" w:cs="Times New Roman"/>
          <w:sz w:val="26"/>
          <w:szCs w:val="26"/>
        </w:rPr>
        <w:t>года в сравнении с аналогичным периодом 201</w:t>
      </w:r>
      <w:r w:rsidR="00BD61B0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212113">
        <w:rPr>
          <w:rFonts w:ascii="Times New Roman" w:hAnsi="Times New Roman" w:cs="Times New Roman"/>
          <w:sz w:val="26"/>
          <w:szCs w:val="26"/>
        </w:rPr>
        <w:t xml:space="preserve"> года характеризуется следующими данными.</w:t>
      </w:r>
    </w:p>
    <w:p w:rsidR="00894DA1" w:rsidRPr="00894DA1" w:rsidRDefault="00894DA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</w:p>
    <w:p w:rsidR="009868D1" w:rsidRPr="00212113" w:rsidRDefault="009868D1" w:rsidP="009868D1">
      <w:pPr>
        <w:pStyle w:val="a3"/>
        <w:spacing w:before="0" w:after="0"/>
        <w:rPr>
          <w:sz w:val="26"/>
          <w:szCs w:val="26"/>
        </w:rPr>
      </w:pPr>
      <w:r w:rsidRPr="00212113">
        <w:rPr>
          <w:b w:val="0"/>
          <w:sz w:val="26"/>
          <w:szCs w:val="26"/>
        </w:rPr>
        <w:t>Таблица № 1                                                                                       тыс. рублей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134"/>
        <w:gridCol w:w="992"/>
        <w:gridCol w:w="850"/>
        <w:gridCol w:w="567"/>
        <w:gridCol w:w="851"/>
        <w:gridCol w:w="1120"/>
        <w:gridCol w:w="900"/>
        <w:gridCol w:w="819"/>
      </w:tblGrid>
      <w:tr w:rsidR="009868D1" w:rsidRPr="00212113" w:rsidTr="002C355E">
        <w:trPr>
          <w:trHeight w:val="2295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 w:rsidP="00BD61B0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>Исполнение 1 квартал  201</w:t>
            </w:r>
            <w:r w:rsidR="00BD61B0" w:rsidRPr="002C355E">
              <w:rPr>
                <w:sz w:val="20"/>
                <w:szCs w:val="20"/>
              </w:rPr>
              <w:t>7</w:t>
            </w:r>
            <w:r w:rsidRPr="002C355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 w:rsidP="002C355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>План  201</w:t>
            </w:r>
            <w:r w:rsidR="002C355E" w:rsidRPr="002C355E">
              <w:rPr>
                <w:sz w:val="20"/>
                <w:szCs w:val="20"/>
              </w:rPr>
              <w:t>8</w:t>
            </w:r>
            <w:r w:rsidRPr="002C355E"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 w:rsidP="002C355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2C355E">
              <w:rPr>
                <w:sz w:val="20"/>
                <w:szCs w:val="20"/>
              </w:rPr>
              <w:t>План 201</w:t>
            </w:r>
            <w:r w:rsidR="002C355E" w:rsidRPr="002C355E">
              <w:rPr>
                <w:sz w:val="20"/>
                <w:szCs w:val="20"/>
              </w:rPr>
              <w:t>8</w:t>
            </w:r>
            <w:r w:rsidRPr="002C355E">
              <w:rPr>
                <w:sz w:val="20"/>
                <w:szCs w:val="20"/>
              </w:rPr>
              <w:t xml:space="preserve"> года (в редакции решения от  </w:t>
            </w:r>
            <w:r w:rsidR="002C355E" w:rsidRPr="002C355E">
              <w:rPr>
                <w:sz w:val="20"/>
                <w:szCs w:val="20"/>
              </w:rPr>
              <w:t>27.03.18 №23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 w:rsidP="002C355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>Исполнение 1 квартала  201</w:t>
            </w:r>
            <w:r w:rsidR="002C355E" w:rsidRPr="002C355E">
              <w:rPr>
                <w:sz w:val="20"/>
                <w:szCs w:val="20"/>
              </w:rPr>
              <w:t>8</w:t>
            </w:r>
            <w:r w:rsidRPr="002C355E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2C355E" w:rsidP="002C355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>Отклонение</w:t>
            </w:r>
            <w:r w:rsidR="009868D1" w:rsidRPr="002C355E">
              <w:rPr>
                <w:sz w:val="20"/>
                <w:szCs w:val="20"/>
              </w:rPr>
              <w:t xml:space="preserve"> уточнен</w:t>
            </w:r>
            <w:proofErr w:type="gramStart"/>
            <w:r w:rsidR="009868D1" w:rsidRPr="002C355E">
              <w:rPr>
                <w:sz w:val="20"/>
                <w:szCs w:val="20"/>
              </w:rPr>
              <w:t>.</w:t>
            </w:r>
            <w:proofErr w:type="gramEnd"/>
            <w:r w:rsidR="009868D1" w:rsidRPr="002C355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868D1" w:rsidRPr="002C355E">
              <w:rPr>
                <w:sz w:val="20"/>
                <w:szCs w:val="20"/>
              </w:rPr>
              <w:t>п</w:t>
            </w:r>
            <w:proofErr w:type="gramEnd"/>
            <w:r w:rsidR="009868D1" w:rsidRPr="002C355E">
              <w:rPr>
                <w:sz w:val="20"/>
                <w:szCs w:val="20"/>
              </w:rPr>
              <w:t>оказате</w:t>
            </w:r>
            <w:proofErr w:type="spellEnd"/>
            <w:r w:rsidR="009868D1" w:rsidRPr="002C355E"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 xml:space="preserve">Отношение </w:t>
            </w:r>
            <w:proofErr w:type="gramStart"/>
            <w:r w:rsidRPr="002C355E">
              <w:rPr>
                <w:sz w:val="20"/>
                <w:szCs w:val="20"/>
              </w:rPr>
              <w:t>уточнен</w:t>
            </w:r>
            <w:proofErr w:type="gramEnd"/>
            <w:r w:rsidRPr="002C355E"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 w:rsidP="00FE5436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>Отклонение 1 квартала  201</w:t>
            </w:r>
            <w:r w:rsidR="00FE5436">
              <w:rPr>
                <w:sz w:val="20"/>
                <w:szCs w:val="20"/>
              </w:rPr>
              <w:t>8</w:t>
            </w:r>
            <w:r w:rsidRPr="002C355E">
              <w:rPr>
                <w:sz w:val="20"/>
                <w:szCs w:val="20"/>
              </w:rPr>
              <w:t xml:space="preserve"> года от 1 квартала  201</w:t>
            </w:r>
            <w:r w:rsidR="00FE5436">
              <w:rPr>
                <w:sz w:val="20"/>
                <w:szCs w:val="20"/>
              </w:rPr>
              <w:t>7</w:t>
            </w:r>
            <w:r w:rsidRPr="002C355E"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>Отношение 1 квартала 201</w:t>
            </w:r>
            <w:r w:rsidR="00FE5436">
              <w:rPr>
                <w:sz w:val="20"/>
                <w:szCs w:val="20"/>
              </w:rPr>
              <w:t>8 года к 1 кварталу 2017</w:t>
            </w:r>
            <w:r w:rsidRPr="002C355E">
              <w:rPr>
                <w:sz w:val="20"/>
                <w:szCs w:val="20"/>
              </w:rPr>
              <w:t xml:space="preserve">        </w:t>
            </w:r>
            <w:proofErr w:type="gramStart"/>
            <w:r w:rsidRPr="002C355E">
              <w:rPr>
                <w:sz w:val="20"/>
                <w:szCs w:val="20"/>
              </w:rPr>
              <w:t xml:space="preserve">( </w:t>
            </w:r>
            <w:proofErr w:type="gramEnd"/>
            <w:r w:rsidRPr="002C355E">
              <w:rPr>
                <w:sz w:val="20"/>
                <w:szCs w:val="20"/>
              </w:rPr>
              <w:t>%)</w:t>
            </w:r>
          </w:p>
          <w:p w:rsidR="009868D1" w:rsidRPr="002C355E" w:rsidRDefault="009868D1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>(гр.5/ гр.2)</w:t>
            </w:r>
          </w:p>
        </w:tc>
      </w:tr>
      <w:tr w:rsidR="009868D1" w:rsidRPr="00212113" w:rsidTr="002C355E">
        <w:trPr>
          <w:trHeight w:val="2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tabs>
                <w:tab w:val="left" w:pos="450"/>
              </w:tabs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12113" w:rsidRDefault="009868D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6"/>
                <w:szCs w:val="26"/>
              </w:rPr>
            </w:pPr>
            <w:r w:rsidRPr="00212113">
              <w:rPr>
                <w:sz w:val="26"/>
                <w:szCs w:val="26"/>
              </w:rPr>
              <w:t>10</w:t>
            </w:r>
          </w:p>
        </w:tc>
      </w:tr>
      <w:tr w:rsidR="009868D1" w:rsidRPr="00212113" w:rsidTr="002C355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8D1" w:rsidRPr="002C355E" w:rsidRDefault="009868D1">
            <w:pPr>
              <w:numPr>
                <w:ilvl w:val="12"/>
                <w:numId w:val="0"/>
              </w:numPr>
              <w:ind w:right="-108"/>
            </w:pPr>
            <w:r w:rsidRPr="002C355E">
              <w:t>Всего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BD61B0" w:rsidP="002C355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>64720,8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2C355E" w:rsidP="002C355E">
            <w:pPr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>355025,1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2C355E" w:rsidP="002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2C355E" w:rsidP="002C355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2C355E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2C355E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2C355E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FE5436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14830,2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FE5436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122,9</w:t>
            </w:r>
          </w:p>
        </w:tc>
      </w:tr>
      <w:tr w:rsidR="009868D1" w:rsidRPr="00212113" w:rsidTr="002C355E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>
            <w:pPr>
              <w:numPr>
                <w:ilvl w:val="12"/>
                <w:numId w:val="0"/>
              </w:numPr>
              <w:ind w:right="-108"/>
            </w:pPr>
            <w:r w:rsidRPr="002C355E"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2C355E" w:rsidP="002C355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>65971,4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2C355E" w:rsidP="002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2C355E" w:rsidP="002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368177,7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2C355E" w:rsidP="002C355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2C355E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2C355E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2C355E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FE5436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36376,1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FE5436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155,1</w:t>
            </w:r>
          </w:p>
        </w:tc>
      </w:tr>
      <w:tr w:rsidR="009868D1" w:rsidRPr="00212113" w:rsidTr="002C355E">
        <w:trPr>
          <w:trHeight w:val="4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D1" w:rsidRPr="002C355E" w:rsidRDefault="009868D1">
            <w:pPr>
              <w:numPr>
                <w:ilvl w:val="12"/>
                <w:numId w:val="0"/>
              </w:numPr>
            </w:pPr>
            <w:r w:rsidRPr="002C355E">
              <w:t>Дефицит</w:t>
            </w:r>
            <w:proofErr w:type="gramStart"/>
            <w:r w:rsidRPr="002C355E">
              <w:t xml:space="preserve"> (-), </w:t>
            </w:r>
            <w:proofErr w:type="gramEnd"/>
            <w:r w:rsidRPr="002C355E">
              <w:t xml:space="preserve">профицит (+)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2C355E" w:rsidP="002C355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C355E">
              <w:rPr>
                <w:sz w:val="20"/>
                <w:szCs w:val="20"/>
              </w:rPr>
              <w:t>-1250,6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2C355E" w:rsidP="002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2C355E" w:rsidP="002C3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2C355E" w:rsidP="002C355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-22886,4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9868D1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9868D1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9868D1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9868D1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8D1" w:rsidRPr="002C355E" w:rsidRDefault="009868D1" w:rsidP="002C355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212113">
        <w:rPr>
          <w:sz w:val="26"/>
          <w:szCs w:val="26"/>
        </w:rPr>
        <w:t xml:space="preserve">По сравнению с 1 кварталом </w:t>
      </w:r>
      <w:r w:rsidR="00DE61AB">
        <w:rPr>
          <w:sz w:val="26"/>
          <w:szCs w:val="26"/>
        </w:rPr>
        <w:t>предыдущего года</w:t>
      </w:r>
      <w:r w:rsidR="00200AEE">
        <w:rPr>
          <w:sz w:val="26"/>
          <w:szCs w:val="26"/>
        </w:rPr>
        <w:t xml:space="preserve"> доходы увеличились </w:t>
      </w:r>
      <w:r w:rsidRPr="00212113">
        <w:rPr>
          <w:sz w:val="26"/>
          <w:szCs w:val="26"/>
        </w:rPr>
        <w:t>на</w:t>
      </w:r>
      <w:r w:rsidR="00200AEE">
        <w:rPr>
          <w:sz w:val="26"/>
          <w:szCs w:val="26"/>
        </w:rPr>
        <w:t xml:space="preserve"> 14830,2 тыс. руб. или на 22,9</w:t>
      </w:r>
      <w:r w:rsidRPr="00212113">
        <w:rPr>
          <w:sz w:val="26"/>
          <w:szCs w:val="26"/>
        </w:rPr>
        <w:t xml:space="preserve">%, расходы </w:t>
      </w:r>
      <w:r w:rsidR="00FE5436">
        <w:rPr>
          <w:sz w:val="26"/>
          <w:szCs w:val="26"/>
        </w:rPr>
        <w:t>увеличились</w:t>
      </w:r>
      <w:r w:rsidRPr="00212113">
        <w:rPr>
          <w:sz w:val="26"/>
          <w:szCs w:val="26"/>
        </w:rPr>
        <w:t xml:space="preserve">  на </w:t>
      </w:r>
      <w:r w:rsidR="00FE5436">
        <w:rPr>
          <w:sz w:val="26"/>
          <w:szCs w:val="26"/>
        </w:rPr>
        <w:t>36376,1</w:t>
      </w:r>
      <w:r w:rsidRPr="00212113">
        <w:rPr>
          <w:sz w:val="26"/>
          <w:szCs w:val="26"/>
        </w:rPr>
        <w:t xml:space="preserve">  тыс. рублей  или на </w:t>
      </w:r>
      <w:r w:rsidR="00FE5436">
        <w:rPr>
          <w:sz w:val="26"/>
          <w:szCs w:val="26"/>
        </w:rPr>
        <w:t>55,1</w:t>
      </w:r>
      <w:r w:rsidRPr="00212113">
        <w:rPr>
          <w:sz w:val="26"/>
          <w:szCs w:val="26"/>
        </w:rPr>
        <w:t>%. Районный  бюджет за 1 квартал  201</w:t>
      </w:r>
      <w:r w:rsidR="00FE5436">
        <w:rPr>
          <w:sz w:val="26"/>
          <w:szCs w:val="26"/>
        </w:rPr>
        <w:t>8</w:t>
      </w:r>
      <w:r w:rsidRPr="00212113">
        <w:rPr>
          <w:sz w:val="26"/>
          <w:szCs w:val="26"/>
        </w:rPr>
        <w:t xml:space="preserve"> года исполнен  с дефицитом  в сумме </w:t>
      </w:r>
      <w:r w:rsidR="00FE5436">
        <w:rPr>
          <w:sz w:val="26"/>
          <w:szCs w:val="26"/>
        </w:rPr>
        <w:t>22886,4</w:t>
      </w:r>
      <w:r w:rsidRPr="00212113">
        <w:rPr>
          <w:sz w:val="26"/>
          <w:szCs w:val="26"/>
        </w:rPr>
        <w:t xml:space="preserve"> тыс. рублей, за аналогичный период 201</w:t>
      </w:r>
      <w:r w:rsidR="00FE5436">
        <w:rPr>
          <w:sz w:val="26"/>
          <w:szCs w:val="26"/>
        </w:rPr>
        <w:t>7</w:t>
      </w:r>
      <w:r w:rsidRPr="00212113">
        <w:rPr>
          <w:sz w:val="26"/>
          <w:szCs w:val="26"/>
        </w:rPr>
        <w:t xml:space="preserve"> года бюджет исполнен с </w:t>
      </w:r>
      <w:r w:rsidR="00FE5436">
        <w:rPr>
          <w:sz w:val="26"/>
          <w:szCs w:val="26"/>
        </w:rPr>
        <w:t>профицитом</w:t>
      </w:r>
      <w:r w:rsidRPr="00212113">
        <w:rPr>
          <w:sz w:val="26"/>
          <w:szCs w:val="26"/>
        </w:rPr>
        <w:t xml:space="preserve">  в сумме </w:t>
      </w:r>
      <w:r w:rsidR="00FE5436">
        <w:rPr>
          <w:sz w:val="26"/>
          <w:szCs w:val="26"/>
        </w:rPr>
        <w:t>1250,6</w:t>
      </w:r>
      <w:r w:rsidRPr="00212113">
        <w:rPr>
          <w:sz w:val="26"/>
          <w:szCs w:val="26"/>
        </w:rPr>
        <w:t xml:space="preserve"> тыс. рублей.</w:t>
      </w:r>
      <w:proofErr w:type="gramEnd"/>
    </w:p>
    <w:p w:rsidR="009868D1" w:rsidRPr="00212113" w:rsidRDefault="009868D1" w:rsidP="009868D1">
      <w:pPr>
        <w:pStyle w:val="Style3"/>
        <w:widowControl/>
        <w:spacing w:line="228" w:lineRule="auto"/>
        <w:rPr>
          <w:b/>
          <w:i/>
          <w:sz w:val="26"/>
          <w:szCs w:val="26"/>
        </w:rPr>
      </w:pP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center"/>
        <w:rPr>
          <w:b/>
          <w:i/>
          <w:sz w:val="26"/>
          <w:szCs w:val="26"/>
        </w:rPr>
      </w:pP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center"/>
        <w:rPr>
          <w:b/>
          <w:sz w:val="26"/>
          <w:szCs w:val="26"/>
        </w:rPr>
      </w:pPr>
      <w:r w:rsidRPr="00212113">
        <w:rPr>
          <w:b/>
          <w:sz w:val="26"/>
          <w:szCs w:val="26"/>
        </w:rPr>
        <w:t>Доходы районного бюджета</w:t>
      </w: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center"/>
        <w:rPr>
          <w:sz w:val="26"/>
          <w:szCs w:val="26"/>
        </w:rPr>
      </w:pP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Налоговые и неналоговые доходы исполнены в сумме </w:t>
      </w:r>
      <w:r w:rsidR="00200AEE">
        <w:rPr>
          <w:sz w:val="26"/>
          <w:szCs w:val="26"/>
        </w:rPr>
        <w:t>79551,0</w:t>
      </w:r>
      <w:r w:rsidRPr="00212113">
        <w:rPr>
          <w:sz w:val="26"/>
          <w:szCs w:val="26"/>
        </w:rPr>
        <w:t xml:space="preserve"> тыс. рублей или </w:t>
      </w:r>
      <w:r w:rsidR="00200AEE">
        <w:rPr>
          <w:sz w:val="26"/>
          <w:szCs w:val="26"/>
        </w:rPr>
        <w:t>21,5</w:t>
      </w:r>
      <w:r w:rsidRPr="00212113">
        <w:rPr>
          <w:sz w:val="26"/>
          <w:szCs w:val="26"/>
        </w:rPr>
        <w:t>%   к утвержденным назначениям</w:t>
      </w:r>
      <w:r w:rsidR="00200AEE">
        <w:rPr>
          <w:sz w:val="26"/>
          <w:szCs w:val="26"/>
        </w:rPr>
        <w:t>.</w:t>
      </w:r>
      <w:r w:rsidRPr="00212113">
        <w:rPr>
          <w:sz w:val="26"/>
          <w:szCs w:val="26"/>
        </w:rPr>
        <w:t xml:space="preserve"> По сравнению с 1 кварталом 201</w:t>
      </w:r>
      <w:r w:rsidR="00200AEE">
        <w:rPr>
          <w:sz w:val="26"/>
          <w:szCs w:val="26"/>
        </w:rPr>
        <w:t>7</w:t>
      </w:r>
      <w:r w:rsidRPr="00212113">
        <w:rPr>
          <w:sz w:val="26"/>
          <w:szCs w:val="26"/>
        </w:rPr>
        <w:t xml:space="preserve"> года налоговые и неналоговые доходы </w:t>
      </w:r>
      <w:r w:rsidR="00200AEE">
        <w:rPr>
          <w:sz w:val="26"/>
          <w:szCs w:val="26"/>
        </w:rPr>
        <w:t xml:space="preserve">увеличились </w:t>
      </w:r>
      <w:r w:rsidR="00B3106A">
        <w:rPr>
          <w:sz w:val="26"/>
          <w:szCs w:val="26"/>
        </w:rPr>
        <w:t>14830,2</w:t>
      </w:r>
      <w:r w:rsidRPr="00212113">
        <w:rPr>
          <w:sz w:val="26"/>
          <w:szCs w:val="26"/>
        </w:rPr>
        <w:t xml:space="preserve">  на  тыс. рублей или на 2</w:t>
      </w:r>
      <w:r w:rsidR="00200AEE">
        <w:rPr>
          <w:sz w:val="26"/>
          <w:szCs w:val="26"/>
        </w:rPr>
        <w:t>2,9</w:t>
      </w:r>
      <w:r w:rsidRPr="00212113">
        <w:rPr>
          <w:sz w:val="26"/>
          <w:szCs w:val="26"/>
        </w:rPr>
        <w:t>%.</w:t>
      </w: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</w:rPr>
        <w:lastRenderedPageBreak/>
        <w:t xml:space="preserve">Налоговые доходы исполнены в сумме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200AEE">
        <w:rPr>
          <w:rFonts w:ascii="Times New Roman" w:hAnsi="Times New Roman" w:cs="Times New Roman"/>
          <w:sz w:val="26"/>
          <w:szCs w:val="26"/>
          <w:lang w:val="ru-RU"/>
        </w:rPr>
        <w:t>21245,0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тыс.</w:t>
      </w:r>
      <w:r w:rsidRPr="00212113">
        <w:rPr>
          <w:rFonts w:ascii="Times New Roman" w:hAnsi="Times New Roman" w:cs="Times New Roman"/>
          <w:sz w:val="26"/>
          <w:szCs w:val="26"/>
        </w:rPr>
        <w:t xml:space="preserve"> рублей или на </w:t>
      </w:r>
      <w:r w:rsidR="00200AEE">
        <w:rPr>
          <w:rFonts w:ascii="Times New Roman" w:hAnsi="Times New Roman" w:cs="Times New Roman"/>
          <w:sz w:val="26"/>
          <w:szCs w:val="26"/>
          <w:lang w:val="ru-RU"/>
        </w:rPr>
        <w:t>21,4</w:t>
      </w:r>
      <w:r w:rsidRPr="00212113">
        <w:rPr>
          <w:rFonts w:ascii="Times New Roman" w:hAnsi="Times New Roman" w:cs="Times New Roman"/>
          <w:sz w:val="26"/>
          <w:szCs w:val="26"/>
        </w:rPr>
        <w:t xml:space="preserve">% к плановым назначениям в сумме </w:t>
      </w:r>
      <w:r w:rsidR="00200AEE">
        <w:rPr>
          <w:rFonts w:ascii="Times New Roman" w:hAnsi="Times New Roman" w:cs="Times New Roman"/>
          <w:sz w:val="26"/>
          <w:szCs w:val="26"/>
          <w:lang w:val="ru-RU"/>
        </w:rPr>
        <w:t xml:space="preserve">99356,0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тыс.</w:t>
      </w:r>
      <w:r w:rsidRPr="00212113">
        <w:rPr>
          <w:rFonts w:ascii="Times New Roman" w:hAnsi="Times New Roman" w:cs="Times New Roman"/>
          <w:sz w:val="26"/>
          <w:szCs w:val="26"/>
        </w:rPr>
        <w:t xml:space="preserve"> рублей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(анализ доходов</w:t>
      </w:r>
      <w:r w:rsidR="00EB4323">
        <w:rPr>
          <w:rFonts w:ascii="Times New Roman" w:hAnsi="Times New Roman" w:cs="Times New Roman"/>
          <w:sz w:val="26"/>
          <w:szCs w:val="26"/>
          <w:lang w:val="ru-RU"/>
        </w:rPr>
        <w:t xml:space="preserve"> -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приложение №1).</w:t>
      </w: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</w:rPr>
        <w:t xml:space="preserve">В отчетном периоде основными источниками налоговых доходов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районного</w:t>
      </w:r>
      <w:r w:rsidRPr="00212113">
        <w:rPr>
          <w:rFonts w:ascii="Times New Roman" w:hAnsi="Times New Roman" w:cs="Times New Roman"/>
          <w:sz w:val="26"/>
          <w:szCs w:val="26"/>
        </w:rPr>
        <w:t xml:space="preserve"> бюджета являлись налог на доходы физических лиц,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12113">
        <w:rPr>
          <w:rFonts w:ascii="Times New Roman" w:hAnsi="Times New Roman" w:cs="Times New Roman"/>
          <w:sz w:val="26"/>
          <w:szCs w:val="26"/>
        </w:rPr>
        <w:t xml:space="preserve">налоги на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совокупные доходы, акцизы. </w:t>
      </w:r>
      <w:r w:rsidRPr="002121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68D1" w:rsidRPr="00212113" w:rsidRDefault="009868D1" w:rsidP="009868D1">
      <w:pPr>
        <w:tabs>
          <w:tab w:val="left" w:pos="432"/>
        </w:tabs>
        <w:suppressAutoHyphens/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Первое место по объему налоговых доходов занимает НДФЛ. Объем поступлений указанного налога составил </w:t>
      </w:r>
      <w:r w:rsidR="00E231EC">
        <w:rPr>
          <w:sz w:val="26"/>
          <w:szCs w:val="26"/>
        </w:rPr>
        <w:t>13441,5</w:t>
      </w:r>
      <w:r w:rsidRPr="00212113">
        <w:rPr>
          <w:sz w:val="26"/>
          <w:szCs w:val="26"/>
        </w:rPr>
        <w:t xml:space="preserve"> тыс. рублей или </w:t>
      </w:r>
      <w:r w:rsidR="00E231EC">
        <w:rPr>
          <w:sz w:val="26"/>
          <w:szCs w:val="26"/>
        </w:rPr>
        <w:t>22,0</w:t>
      </w:r>
      <w:r w:rsidRPr="00212113">
        <w:rPr>
          <w:sz w:val="26"/>
          <w:szCs w:val="26"/>
        </w:rPr>
        <w:t>% от плановых назначений,  удельный вес в налоговых доходах составляет   6</w:t>
      </w:r>
      <w:r w:rsidR="00E231EC">
        <w:rPr>
          <w:sz w:val="26"/>
          <w:szCs w:val="26"/>
        </w:rPr>
        <w:t>8,2</w:t>
      </w:r>
      <w:r w:rsidRPr="00212113">
        <w:rPr>
          <w:sz w:val="26"/>
          <w:szCs w:val="26"/>
        </w:rPr>
        <w:t xml:space="preserve">%, в собственных доходах </w:t>
      </w:r>
      <w:r w:rsidR="00EB4323">
        <w:rPr>
          <w:sz w:val="26"/>
          <w:szCs w:val="26"/>
        </w:rPr>
        <w:t xml:space="preserve">- </w:t>
      </w:r>
      <w:r w:rsidRPr="00212113">
        <w:rPr>
          <w:sz w:val="26"/>
          <w:szCs w:val="26"/>
        </w:rPr>
        <w:t>63,</w:t>
      </w:r>
      <w:r w:rsidR="00E231EC">
        <w:rPr>
          <w:sz w:val="26"/>
          <w:szCs w:val="26"/>
        </w:rPr>
        <w:t>3</w:t>
      </w:r>
      <w:r w:rsidRPr="00212113">
        <w:rPr>
          <w:sz w:val="26"/>
          <w:szCs w:val="26"/>
        </w:rPr>
        <w:t>%. По сравнению с аналогичным периодом 201</w:t>
      </w:r>
      <w:r w:rsidR="00E231EC">
        <w:rPr>
          <w:sz w:val="26"/>
          <w:szCs w:val="26"/>
        </w:rPr>
        <w:t>7</w:t>
      </w:r>
      <w:r w:rsidRPr="00212113">
        <w:rPr>
          <w:sz w:val="26"/>
          <w:szCs w:val="26"/>
        </w:rPr>
        <w:t xml:space="preserve"> года доходы </w:t>
      </w:r>
      <w:r w:rsidR="00E231EC">
        <w:rPr>
          <w:sz w:val="26"/>
          <w:szCs w:val="26"/>
        </w:rPr>
        <w:t>снизились</w:t>
      </w:r>
      <w:r w:rsidRPr="00212113">
        <w:rPr>
          <w:sz w:val="26"/>
          <w:szCs w:val="26"/>
        </w:rPr>
        <w:t xml:space="preserve"> на </w:t>
      </w:r>
      <w:r w:rsidR="00E231EC">
        <w:rPr>
          <w:sz w:val="26"/>
          <w:szCs w:val="26"/>
        </w:rPr>
        <w:t>322,4</w:t>
      </w:r>
      <w:r w:rsidRPr="00212113">
        <w:rPr>
          <w:sz w:val="26"/>
          <w:szCs w:val="26"/>
        </w:rPr>
        <w:t xml:space="preserve"> тыс. рублей или на </w:t>
      </w:r>
      <w:r w:rsidR="00E231EC">
        <w:rPr>
          <w:sz w:val="26"/>
          <w:szCs w:val="26"/>
        </w:rPr>
        <w:t>2,3</w:t>
      </w:r>
      <w:r w:rsidRPr="00212113">
        <w:rPr>
          <w:sz w:val="26"/>
          <w:szCs w:val="26"/>
        </w:rPr>
        <w:t>%.</w:t>
      </w:r>
    </w:p>
    <w:p w:rsidR="009868D1" w:rsidRPr="00212113" w:rsidRDefault="009868D1" w:rsidP="009868D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Второе место по величине поступлений в районный  бюджет занимают налоги на совокупный доход. Общий объем указанных налогов составил </w:t>
      </w:r>
      <w:r w:rsidR="00E231EC">
        <w:rPr>
          <w:sz w:val="26"/>
          <w:szCs w:val="26"/>
        </w:rPr>
        <w:t>3763,5</w:t>
      </w:r>
      <w:r w:rsidRPr="00212113">
        <w:rPr>
          <w:sz w:val="26"/>
          <w:szCs w:val="26"/>
        </w:rPr>
        <w:t xml:space="preserve"> тыс. рублей  или </w:t>
      </w:r>
      <w:r w:rsidR="00E231EC">
        <w:rPr>
          <w:sz w:val="26"/>
          <w:szCs w:val="26"/>
        </w:rPr>
        <w:t>2</w:t>
      </w:r>
      <w:r w:rsidR="009E42BE">
        <w:rPr>
          <w:sz w:val="26"/>
          <w:szCs w:val="26"/>
        </w:rPr>
        <w:t>3</w:t>
      </w:r>
      <w:r w:rsidR="00E231EC">
        <w:rPr>
          <w:sz w:val="26"/>
          <w:szCs w:val="26"/>
        </w:rPr>
        <w:t>,</w:t>
      </w:r>
      <w:r w:rsidR="009E42BE">
        <w:rPr>
          <w:sz w:val="26"/>
          <w:szCs w:val="26"/>
        </w:rPr>
        <w:t>7</w:t>
      </w:r>
      <w:r w:rsidRPr="00212113">
        <w:rPr>
          <w:sz w:val="26"/>
          <w:szCs w:val="26"/>
        </w:rPr>
        <w:t>% от плановых показателей. По сравнению с 1 кварталом  201</w:t>
      </w:r>
      <w:r w:rsidR="00E231EC">
        <w:rPr>
          <w:sz w:val="26"/>
          <w:szCs w:val="26"/>
        </w:rPr>
        <w:t>7</w:t>
      </w:r>
      <w:r w:rsidRPr="00212113">
        <w:rPr>
          <w:sz w:val="26"/>
          <w:szCs w:val="26"/>
        </w:rPr>
        <w:t xml:space="preserve"> года поступлени</w:t>
      </w:r>
      <w:r w:rsidR="00E231EC">
        <w:rPr>
          <w:sz w:val="26"/>
          <w:szCs w:val="26"/>
        </w:rPr>
        <w:t>я налогов на совокупный доход  увеличились</w:t>
      </w:r>
      <w:r w:rsidRPr="00212113">
        <w:rPr>
          <w:sz w:val="26"/>
          <w:szCs w:val="26"/>
        </w:rPr>
        <w:t xml:space="preserve">  на </w:t>
      </w:r>
      <w:r w:rsidR="00E231EC">
        <w:rPr>
          <w:sz w:val="26"/>
          <w:szCs w:val="26"/>
        </w:rPr>
        <w:t>269,3</w:t>
      </w:r>
      <w:r w:rsidRPr="00212113">
        <w:rPr>
          <w:sz w:val="26"/>
          <w:szCs w:val="26"/>
        </w:rPr>
        <w:t xml:space="preserve"> тыс. рублей или на </w:t>
      </w:r>
      <w:r w:rsidR="00E231EC">
        <w:rPr>
          <w:sz w:val="26"/>
          <w:szCs w:val="26"/>
        </w:rPr>
        <w:t>7,7</w:t>
      </w:r>
      <w:r w:rsidRPr="00212113">
        <w:rPr>
          <w:sz w:val="26"/>
          <w:szCs w:val="26"/>
        </w:rPr>
        <w:t xml:space="preserve">%. Доля налогов на совокупный доход  в налоговых доходах составила </w:t>
      </w:r>
      <w:r w:rsidR="00E231EC">
        <w:rPr>
          <w:sz w:val="26"/>
          <w:szCs w:val="26"/>
        </w:rPr>
        <w:t>19,1</w:t>
      </w:r>
      <w:r w:rsidRPr="00212113">
        <w:rPr>
          <w:sz w:val="26"/>
          <w:szCs w:val="26"/>
        </w:rPr>
        <w:t>%</w:t>
      </w:r>
      <w:r w:rsidR="00EB4323">
        <w:rPr>
          <w:sz w:val="26"/>
          <w:szCs w:val="26"/>
        </w:rPr>
        <w:t>,</w:t>
      </w:r>
      <w:r w:rsidRPr="00212113">
        <w:rPr>
          <w:sz w:val="26"/>
          <w:szCs w:val="26"/>
        </w:rPr>
        <w:t xml:space="preserve"> в собственных доходах </w:t>
      </w:r>
      <w:r w:rsidR="00E231EC">
        <w:rPr>
          <w:sz w:val="26"/>
          <w:szCs w:val="26"/>
        </w:rPr>
        <w:t>–</w:t>
      </w:r>
      <w:r w:rsidR="00EB4323">
        <w:rPr>
          <w:sz w:val="26"/>
          <w:szCs w:val="26"/>
        </w:rPr>
        <w:t xml:space="preserve"> </w:t>
      </w:r>
      <w:r w:rsidR="00E231EC">
        <w:rPr>
          <w:sz w:val="26"/>
          <w:szCs w:val="26"/>
        </w:rPr>
        <w:t>17,7</w:t>
      </w:r>
      <w:r w:rsidRPr="00212113">
        <w:rPr>
          <w:sz w:val="26"/>
          <w:szCs w:val="26"/>
        </w:rPr>
        <w:t>%.</w:t>
      </w: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  <w:r w:rsidRPr="00212113">
        <w:rPr>
          <w:rStyle w:val="FontStyle12"/>
          <w:sz w:val="26"/>
          <w:szCs w:val="26"/>
        </w:rPr>
        <w:t>Исполнение по доходам от уплаты г</w:t>
      </w:r>
      <w:r w:rsidRPr="00212113">
        <w:rPr>
          <w:sz w:val="26"/>
          <w:szCs w:val="26"/>
        </w:rPr>
        <w:t xml:space="preserve">осударственной пошлины составило </w:t>
      </w:r>
      <w:r w:rsidR="00E231EC">
        <w:rPr>
          <w:sz w:val="26"/>
          <w:szCs w:val="26"/>
        </w:rPr>
        <w:t>400,8</w:t>
      </w:r>
      <w:r w:rsidRPr="00212113">
        <w:rPr>
          <w:sz w:val="26"/>
          <w:szCs w:val="26"/>
        </w:rPr>
        <w:t xml:space="preserve"> тыс. рублей    или  </w:t>
      </w:r>
      <w:r w:rsidR="00E231EC">
        <w:rPr>
          <w:sz w:val="26"/>
          <w:szCs w:val="26"/>
        </w:rPr>
        <w:t>22,8</w:t>
      </w:r>
      <w:r w:rsidRPr="00212113">
        <w:rPr>
          <w:sz w:val="26"/>
          <w:szCs w:val="26"/>
        </w:rPr>
        <w:t xml:space="preserve">%  от годовых  плановых назначений. </w:t>
      </w:r>
      <w:r w:rsidRPr="00212113">
        <w:rPr>
          <w:rStyle w:val="FontStyle12"/>
          <w:sz w:val="26"/>
          <w:szCs w:val="26"/>
        </w:rPr>
        <w:t>П</w:t>
      </w:r>
      <w:r w:rsidRPr="00212113">
        <w:rPr>
          <w:sz w:val="26"/>
          <w:szCs w:val="26"/>
        </w:rPr>
        <w:t>о сравнению с 1 кварталом 201</w:t>
      </w:r>
      <w:r w:rsidR="00E231EC">
        <w:rPr>
          <w:sz w:val="26"/>
          <w:szCs w:val="26"/>
        </w:rPr>
        <w:t>7</w:t>
      </w:r>
      <w:r w:rsidRPr="00212113">
        <w:rPr>
          <w:sz w:val="26"/>
          <w:szCs w:val="26"/>
        </w:rPr>
        <w:t xml:space="preserve"> года поступления  увеличились  </w:t>
      </w:r>
      <w:r w:rsidRPr="00212113">
        <w:rPr>
          <w:rStyle w:val="FontStyle12"/>
          <w:sz w:val="26"/>
          <w:szCs w:val="26"/>
        </w:rPr>
        <w:t xml:space="preserve"> на </w:t>
      </w:r>
      <w:r w:rsidR="00E231EC">
        <w:rPr>
          <w:rStyle w:val="FontStyle12"/>
          <w:sz w:val="26"/>
          <w:szCs w:val="26"/>
        </w:rPr>
        <w:t>120,0</w:t>
      </w:r>
      <w:r w:rsidRPr="00212113">
        <w:rPr>
          <w:rStyle w:val="FontStyle12"/>
          <w:sz w:val="26"/>
          <w:szCs w:val="26"/>
        </w:rPr>
        <w:t xml:space="preserve"> тыс. рублей </w:t>
      </w:r>
      <w:r w:rsidRPr="00212113">
        <w:rPr>
          <w:sz w:val="26"/>
          <w:szCs w:val="26"/>
        </w:rPr>
        <w:t xml:space="preserve">или на </w:t>
      </w:r>
      <w:r w:rsidR="00E231EC">
        <w:rPr>
          <w:sz w:val="26"/>
          <w:szCs w:val="26"/>
        </w:rPr>
        <w:t>42,7</w:t>
      </w:r>
      <w:r w:rsidRPr="00212113">
        <w:rPr>
          <w:sz w:val="26"/>
          <w:szCs w:val="26"/>
        </w:rPr>
        <w:t>%.</w:t>
      </w: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both"/>
        <w:rPr>
          <w:color w:val="FF0000"/>
          <w:sz w:val="26"/>
          <w:szCs w:val="26"/>
        </w:rPr>
      </w:pPr>
      <w:r w:rsidRPr="00212113">
        <w:rPr>
          <w:sz w:val="26"/>
          <w:szCs w:val="26"/>
        </w:rPr>
        <w:t xml:space="preserve">Исполнение по доходам от поступления акцизов составило </w:t>
      </w:r>
      <w:r w:rsidR="00E231EC">
        <w:rPr>
          <w:sz w:val="26"/>
          <w:szCs w:val="26"/>
        </w:rPr>
        <w:t>2098,4</w:t>
      </w:r>
      <w:r w:rsidRPr="00212113">
        <w:rPr>
          <w:sz w:val="26"/>
          <w:szCs w:val="26"/>
        </w:rPr>
        <w:t xml:space="preserve"> тыс. руб. или </w:t>
      </w:r>
      <w:r w:rsidR="00E231EC">
        <w:rPr>
          <w:sz w:val="26"/>
          <w:szCs w:val="26"/>
        </w:rPr>
        <w:t>22,8</w:t>
      </w:r>
      <w:r w:rsidRPr="00212113">
        <w:rPr>
          <w:sz w:val="26"/>
          <w:szCs w:val="26"/>
        </w:rPr>
        <w:t>% от годовых  плановых назначений. По сравнению с 1 кварталом 201</w:t>
      </w:r>
      <w:r w:rsidR="00E231EC">
        <w:rPr>
          <w:sz w:val="26"/>
          <w:szCs w:val="26"/>
        </w:rPr>
        <w:t>7</w:t>
      </w:r>
      <w:r w:rsidRPr="00212113">
        <w:rPr>
          <w:sz w:val="26"/>
          <w:szCs w:val="26"/>
        </w:rPr>
        <w:t xml:space="preserve"> года поступления </w:t>
      </w:r>
      <w:r w:rsidR="00E231EC">
        <w:rPr>
          <w:sz w:val="26"/>
          <w:szCs w:val="26"/>
        </w:rPr>
        <w:t>сократилось</w:t>
      </w:r>
      <w:r w:rsidRPr="00212113">
        <w:rPr>
          <w:sz w:val="26"/>
          <w:szCs w:val="26"/>
        </w:rPr>
        <w:t xml:space="preserve"> на </w:t>
      </w:r>
      <w:r w:rsidR="00E231EC">
        <w:rPr>
          <w:sz w:val="26"/>
          <w:szCs w:val="26"/>
        </w:rPr>
        <w:t>56,9</w:t>
      </w:r>
      <w:r w:rsidRPr="00212113">
        <w:rPr>
          <w:sz w:val="26"/>
          <w:szCs w:val="26"/>
        </w:rPr>
        <w:t xml:space="preserve">  тыс. рублей или на </w:t>
      </w:r>
      <w:r w:rsidR="00E231EC">
        <w:rPr>
          <w:sz w:val="26"/>
          <w:szCs w:val="26"/>
        </w:rPr>
        <w:t>2,6</w:t>
      </w:r>
      <w:r w:rsidRPr="00212113">
        <w:rPr>
          <w:sz w:val="26"/>
          <w:szCs w:val="26"/>
        </w:rPr>
        <w:t xml:space="preserve">%. </w:t>
      </w:r>
    </w:p>
    <w:p w:rsidR="009868D1" w:rsidRPr="00212113" w:rsidRDefault="009868D1" w:rsidP="009868D1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212113">
        <w:rPr>
          <w:rFonts w:ascii="Times New Roman" w:hAnsi="Times New Roman" w:cs="Times New Roman"/>
          <w:sz w:val="26"/>
          <w:szCs w:val="26"/>
        </w:rPr>
        <w:t xml:space="preserve">Неналоговые доходы исполнены в сумме </w:t>
      </w:r>
      <w:r w:rsidR="00E231EC">
        <w:rPr>
          <w:rFonts w:ascii="Times New Roman" w:hAnsi="Times New Roman" w:cs="Times New Roman"/>
          <w:sz w:val="26"/>
          <w:szCs w:val="26"/>
          <w:lang w:val="ru-RU"/>
        </w:rPr>
        <w:t>1540,7</w:t>
      </w:r>
      <w:r w:rsidRPr="0021211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тыс.</w:t>
      </w:r>
      <w:r w:rsidRPr="00212113">
        <w:rPr>
          <w:rFonts w:ascii="Times New Roman" w:hAnsi="Times New Roman" w:cs="Times New Roman"/>
          <w:sz w:val="26"/>
          <w:szCs w:val="26"/>
        </w:rPr>
        <w:t xml:space="preserve"> рублей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или </w:t>
      </w:r>
      <w:r w:rsidR="00E231EC">
        <w:rPr>
          <w:rFonts w:ascii="Times New Roman" w:hAnsi="Times New Roman" w:cs="Times New Roman"/>
          <w:sz w:val="26"/>
          <w:szCs w:val="26"/>
          <w:lang w:val="ru-RU"/>
        </w:rPr>
        <w:t>13,7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% от годовых назначений</w:t>
      </w:r>
      <w:r w:rsidRPr="002121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212113">
        <w:rPr>
          <w:rFonts w:ascii="Times New Roman" w:hAnsi="Times New Roman" w:cs="Times New Roman"/>
          <w:sz w:val="26"/>
          <w:szCs w:val="26"/>
          <w:lang w:val="ru-RU"/>
        </w:rPr>
        <w:t>Поступление неналоговых доходов в 1 квартале 201</w:t>
      </w:r>
      <w:r w:rsidR="00E231EC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года  уменьшилось по сравнению с  </w:t>
      </w:r>
      <w:r w:rsidRPr="00212113">
        <w:rPr>
          <w:rFonts w:ascii="Times New Roman" w:hAnsi="Times New Roman" w:cs="Times New Roman"/>
          <w:sz w:val="26"/>
          <w:szCs w:val="26"/>
        </w:rPr>
        <w:t xml:space="preserve">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1 кварталом   </w:t>
      </w:r>
      <w:r w:rsidRPr="00212113">
        <w:rPr>
          <w:rFonts w:ascii="Times New Roman" w:hAnsi="Times New Roman" w:cs="Times New Roman"/>
          <w:sz w:val="26"/>
          <w:szCs w:val="26"/>
        </w:rPr>
        <w:t xml:space="preserve"> 201</w:t>
      </w:r>
      <w:r w:rsidR="00E231EC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21211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r w:rsidR="00E231EC">
        <w:rPr>
          <w:rFonts w:ascii="Times New Roman" w:hAnsi="Times New Roman" w:cs="Times New Roman"/>
          <w:sz w:val="26"/>
          <w:szCs w:val="26"/>
          <w:lang w:val="ru-RU"/>
        </w:rPr>
        <w:t>377,0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тыс. рублей или на </w:t>
      </w:r>
      <w:r w:rsidR="00E231EC">
        <w:rPr>
          <w:rFonts w:ascii="Times New Roman" w:hAnsi="Times New Roman" w:cs="Times New Roman"/>
          <w:sz w:val="26"/>
          <w:szCs w:val="26"/>
          <w:lang w:val="ru-RU"/>
        </w:rPr>
        <w:t>19,7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%.</w:t>
      </w: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212113">
        <w:rPr>
          <w:rFonts w:ascii="Times New Roman" w:hAnsi="Times New Roman" w:cs="Times New Roman"/>
          <w:sz w:val="26"/>
          <w:szCs w:val="26"/>
          <w:lang w:val="ru-RU"/>
        </w:rPr>
        <w:t>С</w:t>
      </w:r>
      <w:proofErr w:type="spellStart"/>
      <w:r w:rsidR="00E231EC" w:rsidRPr="00212113">
        <w:rPr>
          <w:rFonts w:ascii="Times New Roman" w:hAnsi="Times New Roman" w:cs="Times New Roman"/>
          <w:sz w:val="26"/>
          <w:szCs w:val="26"/>
        </w:rPr>
        <w:t>трукт</w:t>
      </w:r>
      <w:r w:rsidR="00E231EC" w:rsidRPr="00212113">
        <w:rPr>
          <w:rFonts w:ascii="Times New Roman" w:hAnsi="Times New Roman" w:cs="Times New Roman"/>
          <w:sz w:val="26"/>
          <w:szCs w:val="26"/>
          <w:lang w:val="ru-RU"/>
        </w:rPr>
        <w:t>ура</w:t>
      </w:r>
      <w:proofErr w:type="spellEnd"/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поступления </w:t>
      </w:r>
      <w:r w:rsidRPr="00212113">
        <w:rPr>
          <w:rFonts w:ascii="Times New Roman" w:hAnsi="Times New Roman" w:cs="Times New Roman"/>
          <w:sz w:val="26"/>
          <w:szCs w:val="26"/>
        </w:rPr>
        <w:t xml:space="preserve"> неналоговых доходов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характеризуется следующим образом</w:t>
      </w:r>
      <w:r w:rsidRPr="00212113">
        <w:rPr>
          <w:rFonts w:ascii="Times New Roman" w:hAnsi="Times New Roman" w:cs="Times New Roman"/>
          <w:sz w:val="26"/>
          <w:szCs w:val="26"/>
        </w:rPr>
        <w:t>:</w:t>
      </w: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</w:rPr>
        <w:t xml:space="preserve">- доходы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от использования имущества  - </w:t>
      </w:r>
      <w:r w:rsidRPr="00212113">
        <w:rPr>
          <w:rFonts w:ascii="Times New Roman" w:hAnsi="Times New Roman" w:cs="Times New Roman"/>
          <w:sz w:val="26"/>
          <w:szCs w:val="26"/>
        </w:rPr>
        <w:t xml:space="preserve"> </w:t>
      </w:r>
      <w:r w:rsidR="00E231EC">
        <w:rPr>
          <w:rFonts w:ascii="Times New Roman" w:hAnsi="Times New Roman" w:cs="Times New Roman"/>
          <w:sz w:val="26"/>
          <w:szCs w:val="26"/>
          <w:lang w:val="ru-RU"/>
        </w:rPr>
        <w:t>943,9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12113">
        <w:rPr>
          <w:rFonts w:ascii="Times New Roman" w:hAnsi="Times New Roman" w:cs="Times New Roman"/>
          <w:sz w:val="26"/>
          <w:szCs w:val="26"/>
          <w:lang w:val="ru-RU"/>
        </w:rPr>
        <w:t>тыс</w:t>
      </w:r>
      <w:proofErr w:type="spellEnd"/>
      <w:r w:rsidRPr="00212113">
        <w:rPr>
          <w:rFonts w:ascii="Times New Roman" w:hAnsi="Times New Roman" w:cs="Times New Roman"/>
          <w:sz w:val="26"/>
          <w:szCs w:val="26"/>
        </w:rPr>
        <w:t>.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12113">
        <w:rPr>
          <w:rFonts w:ascii="Times New Roman" w:hAnsi="Times New Roman" w:cs="Times New Roman"/>
          <w:sz w:val="26"/>
          <w:szCs w:val="26"/>
        </w:rPr>
        <w:t>рублей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, что  составляет </w:t>
      </w:r>
      <w:r w:rsidR="00E231EC">
        <w:rPr>
          <w:rFonts w:ascii="Times New Roman" w:hAnsi="Times New Roman" w:cs="Times New Roman"/>
          <w:sz w:val="26"/>
          <w:szCs w:val="26"/>
          <w:lang w:val="ru-RU"/>
        </w:rPr>
        <w:t>19,5</w:t>
      </w:r>
      <w:r w:rsidRPr="00212113">
        <w:rPr>
          <w:rFonts w:ascii="Times New Roman" w:hAnsi="Times New Roman" w:cs="Times New Roman"/>
          <w:sz w:val="26"/>
          <w:szCs w:val="26"/>
        </w:rPr>
        <w:t>%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от плановых назначений или </w:t>
      </w:r>
      <w:r w:rsidR="001F56D6">
        <w:rPr>
          <w:rFonts w:ascii="Times New Roman" w:hAnsi="Times New Roman" w:cs="Times New Roman"/>
          <w:sz w:val="26"/>
          <w:szCs w:val="26"/>
          <w:lang w:val="ru-RU"/>
        </w:rPr>
        <w:t>61,3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% от общей доли неналоговых доходов и </w:t>
      </w:r>
      <w:r w:rsidR="001F56D6">
        <w:rPr>
          <w:rFonts w:ascii="Times New Roman" w:hAnsi="Times New Roman" w:cs="Times New Roman"/>
          <w:sz w:val="26"/>
          <w:szCs w:val="26"/>
          <w:lang w:val="ru-RU"/>
        </w:rPr>
        <w:t>4,4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% от общей доли собственных доходов;</w:t>
      </w: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- доходы от продажи  материальных и нематериальных активов составили </w:t>
      </w:r>
      <w:r w:rsidR="001F56D6">
        <w:rPr>
          <w:rFonts w:ascii="Times New Roman" w:hAnsi="Times New Roman" w:cs="Times New Roman"/>
          <w:sz w:val="26"/>
          <w:szCs w:val="26"/>
          <w:lang w:val="ru-RU"/>
        </w:rPr>
        <w:t>138,8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тыс. рублей, что  составляет </w:t>
      </w:r>
      <w:r w:rsidR="001F56D6">
        <w:rPr>
          <w:rFonts w:ascii="Times New Roman" w:hAnsi="Times New Roman" w:cs="Times New Roman"/>
          <w:sz w:val="26"/>
          <w:szCs w:val="26"/>
          <w:lang w:val="ru-RU"/>
        </w:rPr>
        <w:t>2,9</w:t>
      </w:r>
      <w:r w:rsidRPr="00212113">
        <w:rPr>
          <w:rFonts w:ascii="Times New Roman" w:hAnsi="Times New Roman" w:cs="Times New Roman"/>
          <w:sz w:val="26"/>
          <w:szCs w:val="26"/>
        </w:rPr>
        <w:t>%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от плановых назначений или </w:t>
      </w:r>
      <w:r w:rsidR="001F56D6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% от общей доли неналоговых доходов и </w:t>
      </w:r>
      <w:r w:rsidR="001F56D6">
        <w:rPr>
          <w:rFonts w:ascii="Times New Roman" w:hAnsi="Times New Roman" w:cs="Times New Roman"/>
          <w:sz w:val="26"/>
          <w:szCs w:val="26"/>
          <w:lang w:val="ru-RU"/>
        </w:rPr>
        <w:t>0,7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% от общей доли собственных доходов.</w:t>
      </w:r>
      <w:r w:rsidRPr="00212113">
        <w:rPr>
          <w:rFonts w:ascii="Times New Roman" w:hAnsi="Times New Roman" w:cs="Times New Roman"/>
          <w:sz w:val="26"/>
          <w:szCs w:val="26"/>
        </w:rPr>
        <w:t xml:space="preserve"> По сравнению с 1 кварталом  201</w:t>
      </w:r>
      <w:r w:rsidR="001F56D6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212113">
        <w:rPr>
          <w:rFonts w:ascii="Times New Roman" w:hAnsi="Times New Roman" w:cs="Times New Roman"/>
          <w:sz w:val="26"/>
          <w:szCs w:val="26"/>
        </w:rPr>
        <w:t xml:space="preserve"> года поступления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по данному источнику </w:t>
      </w:r>
      <w:r w:rsidRPr="00212113">
        <w:rPr>
          <w:rFonts w:ascii="Times New Roman" w:hAnsi="Times New Roman" w:cs="Times New Roman"/>
          <w:sz w:val="26"/>
          <w:szCs w:val="26"/>
        </w:rPr>
        <w:t xml:space="preserve">  сократилось  на </w:t>
      </w:r>
      <w:r w:rsidR="001F56D6">
        <w:rPr>
          <w:rFonts w:ascii="Times New Roman" w:hAnsi="Times New Roman" w:cs="Times New Roman"/>
          <w:sz w:val="26"/>
          <w:szCs w:val="26"/>
          <w:lang w:val="ru-RU"/>
        </w:rPr>
        <w:t>209,6</w:t>
      </w:r>
      <w:r w:rsidRPr="00212113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1F56D6">
        <w:rPr>
          <w:rFonts w:ascii="Times New Roman" w:hAnsi="Times New Roman" w:cs="Times New Roman"/>
          <w:sz w:val="26"/>
          <w:szCs w:val="26"/>
          <w:lang w:val="ru-RU"/>
        </w:rPr>
        <w:t>2,5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раза ;</w:t>
      </w: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</w:rPr>
        <w:t xml:space="preserve">- штрафы, санкции, возмещение ущерба – </w:t>
      </w:r>
      <w:r w:rsidR="001F56D6">
        <w:rPr>
          <w:rFonts w:ascii="Times New Roman" w:hAnsi="Times New Roman" w:cs="Times New Roman"/>
          <w:sz w:val="26"/>
          <w:szCs w:val="26"/>
          <w:lang w:val="ru-RU"/>
        </w:rPr>
        <w:t>369,8 тыс. руб.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, что  составляет </w:t>
      </w:r>
      <w:r w:rsidR="001F56D6">
        <w:rPr>
          <w:rFonts w:ascii="Times New Roman" w:hAnsi="Times New Roman" w:cs="Times New Roman"/>
          <w:sz w:val="26"/>
          <w:szCs w:val="26"/>
          <w:lang w:val="ru-RU"/>
        </w:rPr>
        <w:t>28,6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% от плановых назначений или </w:t>
      </w:r>
      <w:r w:rsidR="001F56D6">
        <w:rPr>
          <w:rFonts w:ascii="Times New Roman" w:hAnsi="Times New Roman" w:cs="Times New Roman"/>
          <w:sz w:val="26"/>
          <w:szCs w:val="26"/>
          <w:lang w:val="ru-RU"/>
        </w:rPr>
        <w:t>24,0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% от общей доли неналоговых доходов и </w:t>
      </w:r>
      <w:r w:rsidR="001F56D6">
        <w:rPr>
          <w:rFonts w:ascii="Times New Roman" w:hAnsi="Times New Roman" w:cs="Times New Roman"/>
          <w:sz w:val="26"/>
          <w:szCs w:val="26"/>
          <w:lang w:val="ru-RU"/>
        </w:rPr>
        <w:t>1,7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% в общей доле собственных</w:t>
      </w:r>
      <w:r w:rsidR="00EB4323">
        <w:rPr>
          <w:rFonts w:ascii="Times New Roman" w:hAnsi="Times New Roman" w:cs="Times New Roman"/>
          <w:sz w:val="26"/>
          <w:szCs w:val="26"/>
          <w:lang w:val="ru-RU"/>
        </w:rPr>
        <w:t xml:space="preserve"> доходов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- платежи при пользовании природными ресурсами – </w:t>
      </w:r>
      <w:r w:rsidR="001F56D6">
        <w:rPr>
          <w:rFonts w:ascii="Times New Roman" w:hAnsi="Times New Roman" w:cs="Times New Roman"/>
          <w:sz w:val="26"/>
          <w:szCs w:val="26"/>
          <w:lang w:val="ru-RU"/>
        </w:rPr>
        <w:t>64,9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тыс. рублей, что  составляет </w:t>
      </w:r>
      <w:r w:rsidR="001F56D6">
        <w:rPr>
          <w:rFonts w:ascii="Times New Roman" w:hAnsi="Times New Roman" w:cs="Times New Roman"/>
          <w:sz w:val="26"/>
          <w:szCs w:val="26"/>
          <w:lang w:val="ru-RU"/>
        </w:rPr>
        <w:t>27,5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% от плановых назначений или </w:t>
      </w:r>
      <w:r w:rsidR="001F56D6">
        <w:rPr>
          <w:rFonts w:ascii="Times New Roman" w:hAnsi="Times New Roman" w:cs="Times New Roman"/>
          <w:sz w:val="26"/>
          <w:szCs w:val="26"/>
          <w:lang w:val="ru-RU"/>
        </w:rPr>
        <w:t>4,2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% от общей доли неналоговых доходов. </w:t>
      </w:r>
      <w:r w:rsidRPr="00212113">
        <w:rPr>
          <w:rFonts w:ascii="Times New Roman" w:hAnsi="Times New Roman" w:cs="Times New Roman"/>
          <w:sz w:val="26"/>
          <w:szCs w:val="26"/>
        </w:rPr>
        <w:t>По сравнению с 1 кварталом  201</w:t>
      </w:r>
      <w:r w:rsidR="001F56D6">
        <w:rPr>
          <w:rFonts w:ascii="Times New Roman" w:hAnsi="Times New Roman" w:cs="Times New Roman"/>
          <w:sz w:val="26"/>
          <w:szCs w:val="26"/>
          <w:lang w:val="ru-RU"/>
        </w:rPr>
        <w:t>7</w:t>
      </w:r>
      <w:r w:rsidRPr="00212113">
        <w:rPr>
          <w:rFonts w:ascii="Times New Roman" w:hAnsi="Times New Roman" w:cs="Times New Roman"/>
          <w:sz w:val="26"/>
          <w:szCs w:val="26"/>
        </w:rPr>
        <w:t xml:space="preserve"> года поступления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12113">
        <w:rPr>
          <w:rFonts w:ascii="Times New Roman" w:hAnsi="Times New Roman" w:cs="Times New Roman"/>
          <w:sz w:val="26"/>
          <w:szCs w:val="26"/>
        </w:rPr>
        <w:t xml:space="preserve">  сократилось  на </w:t>
      </w:r>
      <w:r w:rsidR="0057578B">
        <w:rPr>
          <w:rFonts w:ascii="Times New Roman" w:hAnsi="Times New Roman" w:cs="Times New Roman"/>
          <w:sz w:val="26"/>
          <w:szCs w:val="26"/>
          <w:lang w:val="ru-RU"/>
        </w:rPr>
        <w:t>36,0</w:t>
      </w:r>
      <w:r w:rsidRPr="00212113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57578B">
        <w:rPr>
          <w:rFonts w:ascii="Times New Roman" w:hAnsi="Times New Roman" w:cs="Times New Roman"/>
          <w:sz w:val="26"/>
          <w:szCs w:val="26"/>
          <w:lang w:val="ru-RU"/>
        </w:rPr>
        <w:t>в 3,7 раза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868D1" w:rsidRPr="00212113" w:rsidRDefault="009868D1" w:rsidP="009868D1">
      <w:pPr>
        <w:pStyle w:val="a5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12113">
        <w:rPr>
          <w:rFonts w:ascii="Times New Roman" w:hAnsi="Times New Roman" w:cs="Times New Roman"/>
          <w:sz w:val="26"/>
          <w:szCs w:val="26"/>
          <w:lang w:val="ru-RU"/>
        </w:rPr>
        <w:t>- доходы от оказания платных услуг (работ) и компенсации затрат государства  в 1 квартале 201</w:t>
      </w:r>
      <w:r w:rsidR="0057578B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года </w:t>
      </w:r>
      <w:r w:rsidR="0057578B">
        <w:rPr>
          <w:rFonts w:ascii="Times New Roman" w:hAnsi="Times New Roman" w:cs="Times New Roman"/>
          <w:sz w:val="26"/>
          <w:szCs w:val="26"/>
          <w:lang w:val="ru-RU"/>
        </w:rPr>
        <w:t xml:space="preserve">  составили 23,3 тыс. руб. или 16,9% от плановых назначений.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Доходы </w:t>
      </w:r>
      <w:r w:rsidR="0057578B">
        <w:rPr>
          <w:rFonts w:ascii="Times New Roman" w:hAnsi="Times New Roman" w:cs="Times New Roman"/>
          <w:sz w:val="26"/>
          <w:szCs w:val="26"/>
          <w:lang w:val="ru-RU"/>
        </w:rPr>
        <w:t>в 1 квартале</w:t>
      </w:r>
      <w:r w:rsidRPr="00212113">
        <w:rPr>
          <w:rFonts w:ascii="Times New Roman" w:hAnsi="Times New Roman" w:cs="Times New Roman"/>
          <w:sz w:val="26"/>
          <w:szCs w:val="26"/>
          <w:lang w:val="ru-RU"/>
        </w:rPr>
        <w:t xml:space="preserve"> 201</w:t>
      </w:r>
      <w:r w:rsidR="0057578B">
        <w:rPr>
          <w:rFonts w:ascii="Times New Roman" w:hAnsi="Times New Roman" w:cs="Times New Roman"/>
          <w:sz w:val="26"/>
          <w:szCs w:val="26"/>
          <w:lang w:val="ru-RU"/>
        </w:rPr>
        <w:t>7 года не поступали</w:t>
      </w:r>
      <w:r w:rsidR="00EB432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868D1" w:rsidRPr="00212113" w:rsidRDefault="009868D1" w:rsidP="009868D1">
      <w:pPr>
        <w:pStyle w:val="Style4"/>
        <w:widowControl/>
        <w:spacing w:line="228" w:lineRule="auto"/>
        <w:ind w:firstLine="0"/>
        <w:rPr>
          <w:i/>
          <w:sz w:val="26"/>
          <w:szCs w:val="26"/>
        </w:rPr>
      </w:pPr>
    </w:p>
    <w:p w:rsidR="009868D1" w:rsidRPr="00212113" w:rsidRDefault="009868D1" w:rsidP="009868D1">
      <w:pPr>
        <w:pStyle w:val="Style4"/>
        <w:widowControl/>
        <w:spacing w:line="228" w:lineRule="auto"/>
        <w:ind w:firstLine="709"/>
        <w:jc w:val="center"/>
        <w:rPr>
          <w:sz w:val="26"/>
          <w:szCs w:val="26"/>
        </w:rPr>
      </w:pPr>
      <w:r w:rsidRPr="00212113">
        <w:rPr>
          <w:sz w:val="26"/>
          <w:szCs w:val="26"/>
        </w:rPr>
        <w:t>Безвозмездные поступления</w:t>
      </w:r>
    </w:p>
    <w:p w:rsidR="009868D1" w:rsidRPr="00212113" w:rsidRDefault="009868D1" w:rsidP="009868D1">
      <w:pPr>
        <w:pStyle w:val="Style4"/>
        <w:widowControl/>
        <w:spacing w:line="228" w:lineRule="auto"/>
        <w:ind w:firstLine="709"/>
        <w:jc w:val="center"/>
        <w:rPr>
          <w:sz w:val="26"/>
          <w:szCs w:val="26"/>
        </w:rPr>
      </w:pPr>
    </w:p>
    <w:p w:rsidR="009868D1" w:rsidRDefault="009868D1" w:rsidP="009868D1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212113">
        <w:rPr>
          <w:sz w:val="26"/>
          <w:szCs w:val="26"/>
        </w:rPr>
        <w:t xml:space="preserve">Безвозмездные поступления в районный бюджет составили </w:t>
      </w:r>
      <w:r w:rsidR="002A199A">
        <w:rPr>
          <w:sz w:val="26"/>
          <w:szCs w:val="26"/>
        </w:rPr>
        <w:t>58306,1</w:t>
      </w:r>
      <w:r w:rsidRPr="00212113">
        <w:rPr>
          <w:sz w:val="26"/>
          <w:szCs w:val="26"/>
        </w:rPr>
        <w:t xml:space="preserve"> тыс. рублей  или </w:t>
      </w:r>
      <w:r w:rsidR="002A199A">
        <w:rPr>
          <w:sz w:val="26"/>
          <w:szCs w:val="26"/>
        </w:rPr>
        <w:t>21,6</w:t>
      </w:r>
      <w:r w:rsidRPr="00212113">
        <w:rPr>
          <w:sz w:val="26"/>
          <w:szCs w:val="26"/>
        </w:rPr>
        <w:t xml:space="preserve">% к утвержденным назначениям в сумме </w:t>
      </w:r>
      <w:r w:rsidR="002A199A">
        <w:rPr>
          <w:sz w:val="26"/>
          <w:szCs w:val="26"/>
        </w:rPr>
        <w:t>270445,0</w:t>
      </w:r>
      <w:r w:rsidRPr="00212113">
        <w:rPr>
          <w:sz w:val="26"/>
          <w:szCs w:val="26"/>
        </w:rPr>
        <w:t xml:space="preserve">  тыс. рублей. По сравнению с 1 кварталом  201</w:t>
      </w:r>
      <w:r w:rsidR="002A199A">
        <w:rPr>
          <w:sz w:val="26"/>
          <w:szCs w:val="26"/>
        </w:rPr>
        <w:t>7</w:t>
      </w:r>
      <w:r w:rsidRPr="00212113">
        <w:rPr>
          <w:sz w:val="26"/>
          <w:szCs w:val="26"/>
        </w:rPr>
        <w:t xml:space="preserve">  года безвозмездные поступления </w:t>
      </w:r>
      <w:r w:rsidR="002A199A">
        <w:rPr>
          <w:sz w:val="26"/>
          <w:szCs w:val="26"/>
        </w:rPr>
        <w:t>увеличились</w:t>
      </w:r>
      <w:r w:rsidRPr="00212113">
        <w:rPr>
          <w:sz w:val="26"/>
          <w:szCs w:val="26"/>
        </w:rPr>
        <w:t xml:space="preserve">  на </w:t>
      </w:r>
      <w:r w:rsidR="002A199A">
        <w:rPr>
          <w:sz w:val="26"/>
          <w:szCs w:val="26"/>
        </w:rPr>
        <w:t xml:space="preserve">15197,2 </w:t>
      </w:r>
      <w:r w:rsidRPr="00212113">
        <w:rPr>
          <w:sz w:val="26"/>
          <w:szCs w:val="26"/>
        </w:rPr>
        <w:t xml:space="preserve">тыс. рублей, их доля в общих доходах районного бюджета составила </w:t>
      </w:r>
      <w:r w:rsidR="002A199A">
        <w:rPr>
          <w:sz w:val="26"/>
          <w:szCs w:val="26"/>
        </w:rPr>
        <w:t>73,3</w:t>
      </w:r>
      <w:r w:rsidRPr="00212113">
        <w:rPr>
          <w:sz w:val="26"/>
          <w:szCs w:val="26"/>
        </w:rPr>
        <w:t xml:space="preserve">%. </w:t>
      </w:r>
    </w:p>
    <w:p w:rsidR="002A199A" w:rsidRPr="00212113" w:rsidRDefault="002A199A" w:rsidP="009868D1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отчетном периоде дотации бюджетам муниципальных районов на выравнивание бюджетной обеспеченности составили 15026,5 тыс. рублей или 25,0% от плановых назначений.</w:t>
      </w:r>
    </w:p>
    <w:p w:rsidR="002A199A" w:rsidRDefault="002A199A" w:rsidP="009868D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9868D1" w:rsidRPr="00212113">
        <w:rPr>
          <w:sz w:val="26"/>
          <w:szCs w:val="26"/>
        </w:rPr>
        <w:t xml:space="preserve">отации бюджетам на поддержку мер по  обеспечению сбалансированности бюджетов  поступили в сумме </w:t>
      </w:r>
      <w:r>
        <w:rPr>
          <w:sz w:val="26"/>
          <w:szCs w:val="26"/>
        </w:rPr>
        <w:t>11676,4</w:t>
      </w:r>
      <w:r w:rsidR="009868D1" w:rsidRPr="00212113">
        <w:rPr>
          <w:sz w:val="26"/>
          <w:szCs w:val="26"/>
        </w:rPr>
        <w:t xml:space="preserve"> тыс. рублей или </w:t>
      </w:r>
      <w:r>
        <w:rPr>
          <w:sz w:val="26"/>
          <w:szCs w:val="26"/>
        </w:rPr>
        <w:t>24,3</w:t>
      </w:r>
      <w:r w:rsidR="009868D1" w:rsidRPr="00212113">
        <w:rPr>
          <w:sz w:val="26"/>
          <w:szCs w:val="26"/>
        </w:rPr>
        <w:t xml:space="preserve">% к утвержденным назначениям. </w:t>
      </w:r>
    </w:p>
    <w:p w:rsidR="009868D1" w:rsidRPr="00212113" w:rsidRDefault="009868D1" w:rsidP="00021446">
      <w:pPr>
        <w:numPr>
          <w:ilvl w:val="12"/>
          <w:numId w:val="0"/>
        </w:numPr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Доля дотаций в общем объеме безвозмездных поступлений составила </w:t>
      </w:r>
      <w:r w:rsidR="00021446">
        <w:rPr>
          <w:sz w:val="26"/>
          <w:szCs w:val="26"/>
        </w:rPr>
        <w:t>45,8</w:t>
      </w:r>
      <w:r w:rsidRPr="00212113">
        <w:rPr>
          <w:sz w:val="26"/>
          <w:szCs w:val="26"/>
        </w:rPr>
        <w:t>%.</w:t>
      </w:r>
    </w:p>
    <w:p w:rsidR="009868D1" w:rsidRPr="00212113" w:rsidRDefault="00DE61AB" w:rsidP="009868D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Субсидии</w:t>
      </w:r>
      <w:r w:rsidR="009868D1" w:rsidRPr="00212113">
        <w:rPr>
          <w:sz w:val="26"/>
          <w:szCs w:val="26"/>
        </w:rPr>
        <w:t xml:space="preserve">  в 1 квартале 201</w:t>
      </w:r>
      <w:r w:rsidR="00021446">
        <w:rPr>
          <w:sz w:val="26"/>
          <w:szCs w:val="26"/>
        </w:rPr>
        <w:t>8</w:t>
      </w:r>
      <w:r w:rsidR="009868D1" w:rsidRPr="00212113">
        <w:rPr>
          <w:sz w:val="26"/>
          <w:szCs w:val="26"/>
        </w:rPr>
        <w:t xml:space="preserve"> года из областного бюджета  не поступали. </w:t>
      </w:r>
    </w:p>
    <w:p w:rsidR="009868D1" w:rsidRDefault="009868D1" w:rsidP="009868D1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Субвенции в 1 квартале  201</w:t>
      </w:r>
      <w:r w:rsidR="00021446">
        <w:rPr>
          <w:sz w:val="26"/>
          <w:szCs w:val="26"/>
        </w:rPr>
        <w:t>8</w:t>
      </w:r>
      <w:r w:rsidRPr="00212113">
        <w:rPr>
          <w:sz w:val="26"/>
          <w:szCs w:val="26"/>
        </w:rPr>
        <w:t xml:space="preserve"> года поступили в сумме </w:t>
      </w:r>
      <w:r w:rsidR="00021446">
        <w:rPr>
          <w:sz w:val="26"/>
          <w:szCs w:val="26"/>
        </w:rPr>
        <w:t>31033,2</w:t>
      </w:r>
      <w:r w:rsidRPr="00212113">
        <w:rPr>
          <w:sz w:val="26"/>
          <w:szCs w:val="26"/>
        </w:rPr>
        <w:t xml:space="preserve"> тыс. рублей или </w:t>
      </w:r>
      <w:r w:rsidR="00021446">
        <w:rPr>
          <w:sz w:val="26"/>
          <w:szCs w:val="26"/>
        </w:rPr>
        <w:t>21,4</w:t>
      </w:r>
      <w:r w:rsidRPr="00212113">
        <w:rPr>
          <w:sz w:val="26"/>
          <w:szCs w:val="26"/>
        </w:rPr>
        <w:t>% к утвержденным назначениям.</w:t>
      </w:r>
      <w:r w:rsidRPr="00212113">
        <w:rPr>
          <w:b/>
          <w:sz w:val="26"/>
          <w:szCs w:val="26"/>
        </w:rPr>
        <w:t xml:space="preserve"> </w:t>
      </w:r>
      <w:r w:rsidRPr="00212113">
        <w:rPr>
          <w:sz w:val="26"/>
          <w:szCs w:val="26"/>
        </w:rPr>
        <w:t xml:space="preserve">Доля субвенций  в общем объеме безвозмездных поступлений составила </w:t>
      </w:r>
      <w:r w:rsidR="00021446">
        <w:rPr>
          <w:sz w:val="26"/>
          <w:szCs w:val="26"/>
        </w:rPr>
        <w:t>53,2</w:t>
      </w:r>
      <w:r w:rsidRPr="00212113">
        <w:rPr>
          <w:sz w:val="26"/>
          <w:szCs w:val="26"/>
        </w:rPr>
        <w:t xml:space="preserve">%. </w:t>
      </w:r>
    </w:p>
    <w:p w:rsidR="00021446" w:rsidRPr="00212113" w:rsidRDefault="00021446" w:rsidP="009868D1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Межбюджетные трансферты бюджетам муниципальных районов из вышестоящих бюджетов в 1 квартале 2018 года не поступали. Утвержденный плановый показатель составляет 97,7 тыс. рублей. </w:t>
      </w:r>
    </w:p>
    <w:p w:rsidR="009868D1" w:rsidRPr="00212113" w:rsidRDefault="009868D1" w:rsidP="009868D1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На основании заключенных соглашений  на выполнение  переданных полномочий от поселений в районный бюджет поступило </w:t>
      </w:r>
      <w:r w:rsidR="00021446">
        <w:rPr>
          <w:sz w:val="26"/>
          <w:szCs w:val="26"/>
        </w:rPr>
        <w:t>498,5</w:t>
      </w:r>
      <w:r w:rsidRPr="00212113">
        <w:rPr>
          <w:sz w:val="26"/>
          <w:szCs w:val="26"/>
        </w:rPr>
        <w:t xml:space="preserve"> тыс. рублей или </w:t>
      </w:r>
      <w:r w:rsidR="00021446">
        <w:rPr>
          <w:sz w:val="26"/>
          <w:szCs w:val="26"/>
        </w:rPr>
        <w:t>12,6</w:t>
      </w:r>
      <w:r w:rsidRPr="00212113">
        <w:rPr>
          <w:sz w:val="26"/>
          <w:szCs w:val="26"/>
        </w:rPr>
        <w:t>%. По сравнению с аналогичным перио</w:t>
      </w:r>
      <w:r w:rsidR="00EB4323">
        <w:rPr>
          <w:sz w:val="26"/>
          <w:szCs w:val="26"/>
        </w:rPr>
        <w:t>дом 201</w:t>
      </w:r>
      <w:r w:rsidR="00021446">
        <w:rPr>
          <w:sz w:val="26"/>
          <w:szCs w:val="26"/>
        </w:rPr>
        <w:t>7</w:t>
      </w:r>
      <w:r w:rsidR="00EB4323">
        <w:rPr>
          <w:sz w:val="26"/>
          <w:szCs w:val="26"/>
        </w:rPr>
        <w:t xml:space="preserve"> года объем поступлений</w:t>
      </w:r>
      <w:r w:rsidRPr="00212113">
        <w:rPr>
          <w:sz w:val="26"/>
          <w:szCs w:val="26"/>
        </w:rPr>
        <w:t xml:space="preserve"> </w:t>
      </w:r>
      <w:r w:rsidR="00021446">
        <w:rPr>
          <w:sz w:val="26"/>
          <w:szCs w:val="26"/>
        </w:rPr>
        <w:t xml:space="preserve">увеличился </w:t>
      </w:r>
      <w:r w:rsidRPr="00212113">
        <w:rPr>
          <w:sz w:val="26"/>
          <w:szCs w:val="26"/>
        </w:rPr>
        <w:t xml:space="preserve"> на </w:t>
      </w:r>
      <w:r w:rsidR="00021446">
        <w:rPr>
          <w:sz w:val="26"/>
          <w:szCs w:val="26"/>
        </w:rPr>
        <w:t>14,3</w:t>
      </w:r>
      <w:r w:rsidRPr="00212113">
        <w:rPr>
          <w:sz w:val="26"/>
          <w:szCs w:val="26"/>
        </w:rPr>
        <w:t xml:space="preserve"> тыс. руб</w:t>
      </w:r>
      <w:r w:rsidR="00021446">
        <w:rPr>
          <w:sz w:val="26"/>
          <w:szCs w:val="26"/>
        </w:rPr>
        <w:t>лей</w:t>
      </w:r>
      <w:r w:rsidRPr="00212113">
        <w:rPr>
          <w:sz w:val="26"/>
          <w:szCs w:val="26"/>
        </w:rPr>
        <w:t xml:space="preserve">. </w:t>
      </w:r>
    </w:p>
    <w:p w:rsidR="009868D1" w:rsidRPr="00212113" w:rsidRDefault="009868D1" w:rsidP="009868D1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Показатели кассового пл</w:t>
      </w:r>
      <w:r w:rsidR="0054119C">
        <w:rPr>
          <w:sz w:val="26"/>
          <w:szCs w:val="26"/>
        </w:rPr>
        <w:t>ана по доходам за 1 квартал 2018</w:t>
      </w:r>
      <w:r w:rsidRPr="00212113">
        <w:rPr>
          <w:sz w:val="26"/>
          <w:szCs w:val="26"/>
        </w:rPr>
        <w:t xml:space="preserve"> года  исполнены на </w:t>
      </w:r>
      <w:r w:rsidR="0054119C">
        <w:rPr>
          <w:sz w:val="26"/>
          <w:szCs w:val="26"/>
        </w:rPr>
        <w:t>91,4</w:t>
      </w:r>
      <w:r w:rsidRPr="00212113">
        <w:rPr>
          <w:sz w:val="26"/>
          <w:szCs w:val="26"/>
        </w:rPr>
        <w:t>%, аналогичный период 201</w:t>
      </w:r>
      <w:r w:rsidR="0054119C">
        <w:rPr>
          <w:sz w:val="26"/>
          <w:szCs w:val="26"/>
        </w:rPr>
        <w:t>7</w:t>
      </w:r>
      <w:r w:rsidRPr="00212113">
        <w:rPr>
          <w:sz w:val="26"/>
          <w:szCs w:val="26"/>
        </w:rPr>
        <w:t xml:space="preserve"> года -</w:t>
      </w:r>
      <w:r w:rsidR="0054119C">
        <w:rPr>
          <w:sz w:val="26"/>
          <w:szCs w:val="26"/>
        </w:rPr>
        <w:t>83,0</w:t>
      </w:r>
      <w:r w:rsidRPr="00212113">
        <w:rPr>
          <w:sz w:val="26"/>
          <w:szCs w:val="26"/>
        </w:rPr>
        <w:t>%.</w:t>
      </w:r>
    </w:p>
    <w:p w:rsidR="009868D1" w:rsidRPr="00212113" w:rsidRDefault="009868D1" w:rsidP="009868D1">
      <w:pPr>
        <w:jc w:val="both"/>
        <w:rPr>
          <w:sz w:val="26"/>
          <w:szCs w:val="26"/>
        </w:rPr>
      </w:pPr>
    </w:p>
    <w:p w:rsidR="009868D1" w:rsidRPr="00212113" w:rsidRDefault="009868D1" w:rsidP="009868D1">
      <w:pPr>
        <w:ind w:firstLine="709"/>
        <w:jc w:val="center"/>
        <w:rPr>
          <w:b/>
          <w:sz w:val="26"/>
          <w:szCs w:val="26"/>
        </w:rPr>
      </w:pPr>
      <w:r w:rsidRPr="00212113">
        <w:rPr>
          <w:b/>
          <w:sz w:val="26"/>
          <w:szCs w:val="26"/>
        </w:rPr>
        <w:t>Расходы районного бюджета</w:t>
      </w:r>
    </w:p>
    <w:p w:rsidR="009868D1" w:rsidRPr="00212113" w:rsidRDefault="009868D1" w:rsidP="009868D1">
      <w:pPr>
        <w:ind w:firstLine="709"/>
        <w:jc w:val="center"/>
        <w:rPr>
          <w:b/>
          <w:sz w:val="26"/>
          <w:szCs w:val="26"/>
        </w:rPr>
      </w:pPr>
    </w:p>
    <w:p w:rsidR="009868D1" w:rsidRPr="00212113" w:rsidRDefault="009868D1" w:rsidP="009868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Расходы районного бюджета на 201</w:t>
      </w:r>
      <w:r w:rsidR="002D22D5">
        <w:rPr>
          <w:sz w:val="26"/>
          <w:szCs w:val="26"/>
        </w:rPr>
        <w:t>8</w:t>
      </w:r>
      <w:r w:rsidRPr="00212113">
        <w:rPr>
          <w:sz w:val="26"/>
          <w:szCs w:val="26"/>
        </w:rPr>
        <w:t xml:space="preserve"> год первоначально были утверждены в сумме </w:t>
      </w:r>
      <w:r w:rsidR="00DE61AB">
        <w:rPr>
          <w:sz w:val="26"/>
          <w:szCs w:val="26"/>
        </w:rPr>
        <w:t>351025,1</w:t>
      </w:r>
      <w:r w:rsidRPr="00212113">
        <w:rPr>
          <w:sz w:val="26"/>
          <w:szCs w:val="26"/>
        </w:rPr>
        <w:t xml:space="preserve"> тыс. рублей. В течение 1квартала  201</w:t>
      </w:r>
      <w:r w:rsidR="002D22D5">
        <w:rPr>
          <w:sz w:val="26"/>
          <w:szCs w:val="26"/>
        </w:rPr>
        <w:t>8</w:t>
      </w:r>
      <w:r w:rsidRPr="00212113">
        <w:rPr>
          <w:sz w:val="26"/>
          <w:szCs w:val="26"/>
        </w:rPr>
        <w:t xml:space="preserve"> года плановый объем расходов уточнялся </w:t>
      </w:r>
      <w:r w:rsidR="002D22D5">
        <w:rPr>
          <w:sz w:val="26"/>
          <w:szCs w:val="26"/>
        </w:rPr>
        <w:t>3</w:t>
      </w:r>
      <w:r w:rsidRPr="00212113">
        <w:rPr>
          <w:sz w:val="26"/>
          <w:szCs w:val="26"/>
        </w:rPr>
        <w:t xml:space="preserve"> раза и в окончательном варианте составил </w:t>
      </w:r>
      <w:r w:rsidR="002D22D5">
        <w:rPr>
          <w:sz w:val="26"/>
          <w:szCs w:val="26"/>
        </w:rPr>
        <w:t>368177,7</w:t>
      </w:r>
      <w:r w:rsidRPr="00212113">
        <w:rPr>
          <w:sz w:val="26"/>
          <w:szCs w:val="26"/>
        </w:rPr>
        <w:t xml:space="preserve"> тыс. рублей  или </w:t>
      </w:r>
      <w:r w:rsidR="00AB0346">
        <w:rPr>
          <w:sz w:val="26"/>
          <w:szCs w:val="26"/>
        </w:rPr>
        <w:t>104,9</w:t>
      </w:r>
      <w:r w:rsidRPr="00212113">
        <w:rPr>
          <w:sz w:val="26"/>
          <w:szCs w:val="26"/>
        </w:rPr>
        <w:t>% от первоначального плана.</w:t>
      </w:r>
    </w:p>
    <w:p w:rsidR="009868D1" w:rsidRPr="00212113" w:rsidRDefault="009868D1" w:rsidP="009868D1">
      <w:pPr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Исполнение районного бюджета по разделам классификации расходов отражено в следующей таблице:</w:t>
      </w:r>
    </w:p>
    <w:p w:rsidR="009868D1" w:rsidRPr="00212113" w:rsidRDefault="009868D1" w:rsidP="00F9170F">
      <w:pPr>
        <w:jc w:val="both"/>
        <w:rPr>
          <w:sz w:val="26"/>
          <w:szCs w:val="26"/>
        </w:rPr>
      </w:pPr>
    </w:p>
    <w:p w:rsidR="009868D1" w:rsidRPr="00F9170F" w:rsidRDefault="009868D1" w:rsidP="009868D1">
      <w:pPr>
        <w:jc w:val="both"/>
        <w:rPr>
          <w:sz w:val="26"/>
          <w:szCs w:val="26"/>
        </w:rPr>
      </w:pPr>
      <w:r w:rsidRPr="00212113">
        <w:rPr>
          <w:sz w:val="26"/>
          <w:szCs w:val="26"/>
        </w:rPr>
        <w:t>Таблица № 2                                                                                      тыс. рублей</w:t>
      </w:r>
    </w:p>
    <w:p w:rsidR="00F9170F" w:rsidRDefault="00F9170F" w:rsidP="009868D1">
      <w:pPr>
        <w:ind w:firstLine="709"/>
        <w:jc w:val="both"/>
        <w:rPr>
          <w:sz w:val="26"/>
          <w:szCs w:val="26"/>
        </w:rPr>
      </w:pPr>
    </w:p>
    <w:tbl>
      <w:tblPr>
        <w:tblW w:w="9046" w:type="dxa"/>
        <w:tblInd w:w="93" w:type="dxa"/>
        <w:tblLook w:val="04A0" w:firstRow="1" w:lastRow="0" w:firstColumn="1" w:lastColumn="0" w:noHBand="0" w:noVBand="1"/>
      </w:tblPr>
      <w:tblGrid>
        <w:gridCol w:w="1797"/>
        <w:gridCol w:w="1561"/>
        <w:gridCol w:w="1561"/>
        <w:gridCol w:w="1303"/>
        <w:gridCol w:w="1017"/>
        <w:gridCol w:w="1111"/>
        <w:gridCol w:w="1128"/>
      </w:tblGrid>
      <w:tr w:rsidR="00F9170F" w:rsidRPr="00F9170F" w:rsidTr="00F9170F">
        <w:trPr>
          <w:trHeight w:val="168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center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DE61AB">
            <w:pPr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Решение Представительного Собрания района от 25.12.2017 №108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center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Решение Представительного Собрания района от 27.03.2018 №23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center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Изменения к первоначально утвержденному закону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center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% отклонения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DE61AB">
            <w:pPr>
              <w:jc w:val="center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Фактическое исполнение за 1 квартал 201</w:t>
            </w:r>
            <w:r w:rsidR="00DE61AB">
              <w:rPr>
                <w:color w:val="000000"/>
                <w:sz w:val="18"/>
                <w:szCs w:val="18"/>
              </w:rPr>
              <w:t>8</w:t>
            </w:r>
            <w:r w:rsidRPr="00F9170F">
              <w:rPr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center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Процент исполнения к уточненному бюджету</w:t>
            </w:r>
          </w:p>
        </w:tc>
      </w:tr>
      <w:tr w:rsidR="00F9170F" w:rsidRPr="00F9170F" w:rsidTr="00F9170F">
        <w:trPr>
          <w:trHeight w:val="52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54170,9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54238,4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67,5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14664,9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27,0</w:t>
            </w:r>
          </w:p>
        </w:tc>
      </w:tr>
      <w:tr w:rsidR="00F9170F" w:rsidRPr="00F9170F" w:rsidTr="00F9170F">
        <w:trPr>
          <w:trHeight w:val="67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1213,2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1235,6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22,4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429,2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34,7</w:t>
            </w:r>
          </w:p>
        </w:tc>
      </w:tr>
      <w:tr w:rsidR="00F9170F" w:rsidRPr="00F9170F" w:rsidTr="00F9170F">
        <w:trPr>
          <w:trHeight w:val="67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15249,8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22113,0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6863,2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3458,2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15,6</w:t>
            </w:r>
          </w:p>
        </w:tc>
      </w:tr>
      <w:tr w:rsidR="00F9170F" w:rsidRPr="00F9170F" w:rsidTr="00F9170F">
        <w:trPr>
          <w:trHeight w:val="57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2492,0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3014,5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522,5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4,6</w:t>
            </w:r>
          </w:p>
        </w:tc>
      </w:tr>
      <w:tr w:rsidR="00F9170F" w:rsidRPr="00F9170F" w:rsidTr="00F9170F">
        <w:trPr>
          <w:trHeight w:val="54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1112,9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1112,9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F9170F" w:rsidRPr="00F9170F" w:rsidTr="00F9170F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229923,8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239241,0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9317,2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67795,9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28,3</w:t>
            </w:r>
          </w:p>
        </w:tc>
      </w:tr>
      <w:tr w:rsidR="00F9170F" w:rsidRPr="00F9170F" w:rsidTr="00F9170F">
        <w:trPr>
          <w:trHeight w:val="52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21100,0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20647,0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-453,0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9286,3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F9170F" w:rsidRPr="00F9170F" w:rsidTr="00F9170F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9170F" w:rsidRPr="00F9170F" w:rsidTr="00F9170F">
        <w:trPr>
          <w:trHeight w:val="39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8464,9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8604,4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1233,9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14,3</w:t>
            </w:r>
          </w:p>
        </w:tc>
      </w:tr>
      <w:tr w:rsidR="00F9170F" w:rsidRPr="00F9170F" w:rsidTr="00F9170F">
        <w:trPr>
          <w:trHeight w:val="54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6952,2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352,2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2735,8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39,4</w:t>
            </w:r>
          </w:p>
        </w:tc>
      </w:tr>
      <w:tr w:rsidR="00F9170F" w:rsidRPr="00F9170F" w:rsidTr="00F9170F">
        <w:trPr>
          <w:trHeight w:val="6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208,0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273,3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10,5</w:t>
            </w:r>
          </w:p>
        </w:tc>
      </w:tr>
      <w:tr w:rsidR="00F9170F" w:rsidRPr="00F9170F" w:rsidTr="00F9170F">
        <w:trPr>
          <w:trHeight w:val="136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B3106A">
            <w:pPr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 xml:space="preserve">Межбюджетные трансферты общего характера бюджетам субъектов </w:t>
            </w:r>
            <w:r w:rsidR="00B3106A">
              <w:rPr>
                <w:color w:val="000000"/>
                <w:sz w:val="18"/>
                <w:szCs w:val="18"/>
              </w:rPr>
              <w:t>Р</w:t>
            </w:r>
            <w:r w:rsidRPr="00F9170F">
              <w:rPr>
                <w:color w:val="000000"/>
                <w:sz w:val="18"/>
                <w:szCs w:val="18"/>
              </w:rPr>
              <w:t xml:space="preserve">оссийской </w:t>
            </w:r>
            <w:r w:rsidR="00B3106A">
              <w:rPr>
                <w:color w:val="000000"/>
                <w:sz w:val="18"/>
                <w:szCs w:val="18"/>
              </w:rPr>
              <w:t>Ф</w:t>
            </w:r>
            <w:bookmarkStart w:id="0" w:name="_GoBack"/>
            <w:bookmarkEnd w:id="0"/>
            <w:r w:rsidRPr="00F9170F">
              <w:rPr>
                <w:color w:val="000000"/>
                <w:sz w:val="18"/>
                <w:szCs w:val="18"/>
              </w:rPr>
              <w:t>едерации и муниципальных образований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10504,0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10617,1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113,1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2643,3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24,9</w:t>
            </w:r>
          </w:p>
        </w:tc>
      </w:tr>
      <w:tr w:rsidR="00F9170F" w:rsidRPr="00F9170F" w:rsidTr="00F9170F">
        <w:trPr>
          <w:trHeight w:val="300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F" w:rsidRPr="00F9170F" w:rsidRDefault="00F9170F" w:rsidP="00F917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170F">
              <w:rPr>
                <w:b/>
                <w:bCs/>
                <w:color w:val="000000"/>
                <w:sz w:val="18"/>
                <w:szCs w:val="18"/>
              </w:rPr>
              <w:t xml:space="preserve">итого расходов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F" w:rsidRPr="00F9170F" w:rsidRDefault="00F9170F" w:rsidP="00F917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170F">
              <w:rPr>
                <w:b/>
                <w:bCs/>
                <w:color w:val="000000"/>
                <w:sz w:val="18"/>
                <w:szCs w:val="18"/>
              </w:rPr>
              <w:t>351025,1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F" w:rsidRPr="00F9170F" w:rsidRDefault="00F9170F" w:rsidP="00F917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170F">
              <w:rPr>
                <w:b/>
                <w:bCs/>
                <w:color w:val="000000"/>
                <w:sz w:val="18"/>
                <w:szCs w:val="18"/>
              </w:rPr>
              <w:t>368177,7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170F">
              <w:rPr>
                <w:b/>
                <w:bCs/>
                <w:color w:val="000000"/>
                <w:sz w:val="18"/>
                <w:szCs w:val="18"/>
              </w:rPr>
              <w:t>17152,6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color w:val="000000"/>
                <w:sz w:val="18"/>
                <w:szCs w:val="18"/>
              </w:rPr>
            </w:pPr>
            <w:r w:rsidRPr="00F9170F">
              <w:rPr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0F" w:rsidRPr="00F9170F" w:rsidRDefault="00F9170F" w:rsidP="00F917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170F">
              <w:rPr>
                <w:b/>
                <w:bCs/>
                <w:color w:val="000000"/>
                <w:sz w:val="18"/>
                <w:szCs w:val="18"/>
              </w:rPr>
              <w:t>102437,4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70F" w:rsidRPr="00F9170F" w:rsidRDefault="00F9170F" w:rsidP="00F9170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170F">
              <w:rPr>
                <w:b/>
                <w:bCs/>
                <w:color w:val="000000"/>
                <w:sz w:val="18"/>
                <w:szCs w:val="18"/>
              </w:rPr>
              <w:t>27,8</w:t>
            </w:r>
          </w:p>
        </w:tc>
      </w:tr>
    </w:tbl>
    <w:p w:rsidR="00F9170F" w:rsidRDefault="00F9170F" w:rsidP="009868D1">
      <w:pPr>
        <w:ind w:firstLine="709"/>
        <w:jc w:val="both"/>
        <w:rPr>
          <w:sz w:val="26"/>
          <w:szCs w:val="26"/>
        </w:rPr>
      </w:pPr>
    </w:p>
    <w:p w:rsidR="009868D1" w:rsidRPr="00212113" w:rsidRDefault="009868D1" w:rsidP="009868D1">
      <w:pPr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За 1 квартал  201</w:t>
      </w:r>
      <w:r w:rsidR="00F9170F">
        <w:rPr>
          <w:sz w:val="26"/>
          <w:szCs w:val="26"/>
        </w:rPr>
        <w:t>8</w:t>
      </w:r>
      <w:r w:rsidRPr="00212113">
        <w:rPr>
          <w:sz w:val="26"/>
          <w:szCs w:val="26"/>
        </w:rPr>
        <w:t xml:space="preserve"> года расходы районного бюджета исполнены в сумме  </w:t>
      </w:r>
      <w:r w:rsidR="00B3106A">
        <w:rPr>
          <w:sz w:val="26"/>
          <w:szCs w:val="26"/>
        </w:rPr>
        <w:t xml:space="preserve">102347,5 </w:t>
      </w:r>
      <w:r w:rsidRPr="00212113">
        <w:rPr>
          <w:sz w:val="26"/>
          <w:szCs w:val="26"/>
        </w:rPr>
        <w:t xml:space="preserve">тыс. рублей или на </w:t>
      </w:r>
      <w:r w:rsidR="00F9170F">
        <w:rPr>
          <w:sz w:val="26"/>
          <w:szCs w:val="26"/>
        </w:rPr>
        <w:t>27,8</w:t>
      </w:r>
      <w:r w:rsidRPr="00212113">
        <w:rPr>
          <w:sz w:val="26"/>
          <w:szCs w:val="26"/>
        </w:rPr>
        <w:t>% (1 квартал  201</w:t>
      </w:r>
      <w:r w:rsidR="00F9170F">
        <w:rPr>
          <w:sz w:val="26"/>
          <w:szCs w:val="26"/>
        </w:rPr>
        <w:t>7</w:t>
      </w:r>
      <w:r w:rsidRPr="00212113">
        <w:rPr>
          <w:sz w:val="26"/>
          <w:szCs w:val="26"/>
        </w:rPr>
        <w:t xml:space="preserve"> года – </w:t>
      </w:r>
      <w:r w:rsidR="00F9170F">
        <w:rPr>
          <w:sz w:val="26"/>
          <w:szCs w:val="26"/>
        </w:rPr>
        <w:t>21,4</w:t>
      </w:r>
      <w:r w:rsidRPr="00212113">
        <w:rPr>
          <w:sz w:val="26"/>
          <w:szCs w:val="26"/>
        </w:rPr>
        <w:t xml:space="preserve"> %) к утвержденным годовым назначениям. </w:t>
      </w:r>
    </w:p>
    <w:p w:rsidR="009868D1" w:rsidRPr="00212113" w:rsidRDefault="009868D1" w:rsidP="009868D1">
      <w:pPr>
        <w:spacing w:before="100" w:beforeAutospacing="1" w:after="100" w:afterAutospacing="1"/>
        <w:ind w:firstLine="375"/>
        <w:jc w:val="both"/>
        <w:rPr>
          <w:color w:val="333333"/>
          <w:sz w:val="26"/>
          <w:szCs w:val="26"/>
        </w:rPr>
      </w:pPr>
      <w:r w:rsidRPr="00212113">
        <w:rPr>
          <w:color w:val="333333"/>
          <w:sz w:val="26"/>
          <w:szCs w:val="26"/>
        </w:rPr>
        <w:t>Расходы районного  бюджета на  социальную направленность составили</w:t>
      </w:r>
      <w:r w:rsidR="006044AC">
        <w:rPr>
          <w:color w:val="333333"/>
          <w:sz w:val="26"/>
          <w:szCs w:val="26"/>
        </w:rPr>
        <w:t xml:space="preserve"> </w:t>
      </w:r>
      <w:r w:rsidRPr="00212113">
        <w:rPr>
          <w:color w:val="333333"/>
          <w:sz w:val="26"/>
          <w:szCs w:val="26"/>
        </w:rPr>
        <w:t xml:space="preserve"> </w:t>
      </w:r>
      <w:r w:rsidR="006044AC">
        <w:rPr>
          <w:color w:val="333333"/>
          <w:sz w:val="26"/>
          <w:szCs w:val="26"/>
        </w:rPr>
        <w:t>7</w:t>
      </w:r>
      <w:r w:rsidR="0009700D">
        <w:rPr>
          <w:color w:val="333333"/>
          <w:sz w:val="26"/>
          <w:szCs w:val="26"/>
        </w:rPr>
        <w:t>9,1</w:t>
      </w:r>
      <w:r w:rsidRPr="00212113">
        <w:rPr>
          <w:color w:val="333333"/>
          <w:sz w:val="26"/>
          <w:szCs w:val="26"/>
        </w:rPr>
        <w:t>% от общего объема расходов  (201</w:t>
      </w:r>
      <w:r w:rsidR="0009700D">
        <w:rPr>
          <w:color w:val="333333"/>
          <w:sz w:val="26"/>
          <w:szCs w:val="26"/>
        </w:rPr>
        <w:t>7</w:t>
      </w:r>
      <w:r w:rsidRPr="00212113">
        <w:rPr>
          <w:color w:val="333333"/>
          <w:sz w:val="26"/>
          <w:szCs w:val="26"/>
        </w:rPr>
        <w:t xml:space="preserve"> год – </w:t>
      </w:r>
      <w:r w:rsidR="0009700D">
        <w:rPr>
          <w:color w:val="333333"/>
          <w:sz w:val="26"/>
          <w:szCs w:val="26"/>
        </w:rPr>
        <w:t>78,8</w:t>
      </w:r>
      <w:r w:rsidRPr="00212113">
        <w:rPr>
          <w:color w:val="333333"/>
          <w:sz w:val="26"/>
          <w:szCs w:val="26"/>
        </w:rPr>
        <w:t>%).</w:t>
      </w:r>
    </w:p>
    <w:p w:rsidR="009868D1" w:rsidRPr="00212113" w:rsidRDefault="009868D1" w:rsidP="009868D1">
      <w:pPr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В отчетном периоде районный  бюджет исполнен на  </w:t>
      </w:r>
      <w:r w:rsidR="0009700D">
        <w:rPr>
          <w:sz w:val="26"/>
          <w:szCs w:val="26"/>
        </w:rPr>
        <w:t>27,8</w:t>
      </w:r>
      <w:r w:rsidRPr="00212113">
        <w:rPr>
          <w:sz w:val="26"/>
          <w:szCs w:val="26"/>
        </w:rPr>
        <w:t>% (</w:t>
      </w:r>
      <w:r w:rsidR="0009700D">
        <w:rPr>
          <w:sz w:val="26"/>
          <w:szCs w:val="26"/>
        </w:rPr>
        <w:t>выше</w:t>
      </w:r>
      <w:r w:rsidR="006044AC">
        <w:rPr>
          <w:sz w:val="26"/>
          <w:szCs w:val="26"/>
        </w:rPr>
        <w:t xml:space="preserve"> </w:t>
      </w:r>
      <w:r w:rsidRPr="00212113">
        <w:rPr>
          <w:sz w:val="26"/>
          <w:szCs w:val="26"/>
        </w:rPr>
        <w:t>планов</w:t>
      </w:r>
      <w:r w:rsidR="006044AC">
        <w:rPr>
          <w:sz w:val="26"/>
          <w:szCs w:val="26"/>
        </w:rPr>
        <w:t>ого</w:t>
      </w:r>
      <w:r w:rsidRPr="00212113">
        <w:rPr>
          <w:sz w:val="26"/>
          <w:szCs w:val="26"/>
        </w:rPr>
        <w:t xml:space="preserve"> процент</w:t>
      </w:r>
      <w:r w:rsidR="006044AC">
        <w:rPr>
          <w:sz w:val="26"/>
          <w:szCs w:val="26"/>
        </w:rPr>
        <w:t>а</w:t>
      </w:r>
      <w:r w:rsidRPr="00212113">
        <w:rPr>
          <w:sz w:val="26"/>
          <w:szCs w:val="26"/>
        </w:rPr>
        <w:t xml:space="preserve"> исполнения).</w:t>
      </w:r>
    </w:p>
    <w:p w:rsidR="006F28EC" w:rsidRDefault="009868D1" w:rsidP="009868D1">
      <w:pPr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Наибольший процент исполнения (выше 25%) составил  по раздел</w:t>
      </w:r>
      <w:r w:rsidR="006044AC">
        <w:rPr>
          <w:sz w:val="26"/>
          <w:szCs w:val="26"/>
        </w:rPr>
        <w:t>ам</w:t>
      </w:r>
      <w:r w:rsidR="006F28EC">
        <w:rPr>
          <w:sz w:val="26"/>
          <w:szCs w:val="26"/>
        </w:rPr>
        <w:t>:</w:t>
      </w:r>
      <w:r w:rsidRPr="00212113">
        <w:rPr>
          <w:sz w:val="26"/>
          <w:szCs w:val="26"/>
        </w:rPr>
        <w:t xml:space="preserve"> </w:t>
      </w:r>
    </w:p>
    <w:p w:rsidR="0009700D" w:rsidRDefault="0009700D" w:rsidP="009868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«Общегосударственные вопросы» - 27,0%</w:t>
      </w:r>
      <w:r w:rsidR="00B3106A">
        <w:rPr>
          <w:sz w:val="26"/>
          <w:szCs w:val="26"/>
        </w:rPr>
        <w:t>;</w:t>
      </w:r>
    </w:p>
    <w:p w:rsidR="009868D1" w:rsidRDefault="006F28EC" w:rsidP="009868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B4323">
        <w:rPr>
          <w:sz w:val="26"/>
          <w:szCs w:val="26"/>
        </w:rPr>
        <w:t>«Н</w:t>
      </w:r>
      <w:r>
        <w:rPr>
          <w:sz w:val="26"/>
          <w:szCs w:val="26"/>
        </w:rPr>
        <w:t>ациональная безопасность и правоохранительная деятельность</w:t>
      </w:r>
      <w:r w:rsidR="00EB4323">
        <w:rPr>
          <w:sz w:val="26"/>
          <w:szCs w:val="26"/>
        </w:rPr>
        <w:t>»</w:t>
      </w:r>
      <w:r w:rsidR="009868D1" w:rsidRPr="00212113">
        <w:rPr>
          <w:sz w:val="26"/>
          <w:szCs w:val="26"/>
        </w:rPr>
        <w:t xml:space="preserve"> – </w:t>
      </w:r>
      <w:r w:rsidR="0009700D">
        <w:rPr>
          <w:sz w:val="26"/>
          <w:szCs w:val="26"/>
        </w:rPr>
        <w:t>34,7</w:t>
      </w:r>
      <w:r w:rsidR="009868D1" w:rsidRPr="00212113">
        <w:rPr>
          <w:sz w:val="26"/>
          <w:szCs w:val="26"/>
        </w:rPr>
        <w:t>%</w:t>
      </w:r>
      <w:r>
        <w:rPr>
          <w:sz w:val="26"/>
          <w:szCs w:val="26"/>
        </w:rPr>
        <w:t>;</w:t>
      </w:r>
    </w:p>
    <w:p w:rsidR="0009700D" w:rsidRDefault="0009700D" w:rsidP="006F28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«Образование» - 28,3%;</w:t>
      </w:r>
    </w:p>
    <w:p w:rsidR="0009700D" w:rsidRDefault="0009700D" w:rsidP="006F28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«Культура, кинематография» - 45,0%;</w:t>
      </w:r>
    </w:p>
    <w:p w:rsidR="0009700D" w:rsidRDefault="0009700D" w:rsidP="006F28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«Физич</w:t>
      </w:r>
      <w:r w:rsidR="00B3106A">
        <w:rPr>
          <w:sz w:val="26"/>
          <w:szCs w:val="26"/>
        </w:rPr>
        <w:t>еская культура и спорт» - 39,4%.</w:t>
      </w:r>
    </w:p>
    <w:p w:rsidR="009868D1" w:rsidRPr="00212113" w:rsidRDefault="009868D1" w:rsidP="0009700D">
      <w:pPr>
        <w:ind w:firstLine="708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Наименьшее исполнение районного бюджета за 1 квартал  201</w:t>
      </w:r>
      <w:r w:rsidR="0009700D">
        <w:rPr>
          <w:sz w:val="26"/>
          <w:szCs w:val="26"/>
        </w:rPr>
        <w:t>8</w:t>
      </w:r>
      <w:r w:rsidRPr="00212113">
        <w:rPr>
          <w:sz w:val="26"/>
          <w:szCs w:val="26"/>
        </w:rPr>
        <w:t xml:space="preserve"> года (менее 10%) составило по разделам:</w:t>
      </w:r>
    </w:p>
    <w:p w:rsidR="009868D1" w:rsidRPr="00CA30E5" w:rsidRDefault="00CA30E5" w:rsidP="009868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868D1" w:rsidRPr="00212113">
        <w:rPr>
          <w:sz w:val="26"/>
          <w:szCs w:val="26"/>
        </w:rPr>
        <w:t>«</w:t>
      </w:r>
      <w:r w:rsidR="009868D1" w:rsidRPr="00212113">
        <w:rPr>
          <w:color w:val="000000"/>
          <w:sz w:val="26"/>
          <w:szCs w:val="26"/>
        </w:rPr>
        <w:t>Жилищно-коммунальное хозяйство»</w:t>
      </w:r>
      <w:r w:rsidR="009868D1" w:rsidRPr="00212113">
        <w:rPr>
          <w:sz w:val="26"/>
          <w:szCs w:val="26"/>
        </w:rPr>
        <w:t xml:space="preserve"> - </w:t>
      </w:r>
      <w:r w:rsidR="0009700D">
        <w:rPr>
          <w:sz w:val="26"/>
          <w:szCs w:val="26"/>
        </w:rPr>
        <w:t>4,6</w:t>
      </w:r>
      <w:r w:rsidR="009868D1" w:rsidRPr="00212113">
        <w:rPr>
          <w:sz w:val="26"/>
          <w:szCs w:val="26"/>
        </w:rPr>
        <w:t xml:space="preserve">% </w:t>
      </w:r>
      <w:r w:rsidR="009868D1" w:rsidRPr="00CA30E5">
        <w:rPr>
          <w:sz w:val="26"/>
          <w:szCs w:val="26"/>
        </w:rPr>
        <w:t>(по подразделу «</w:t>
      </w:r>
      <w:r w:rsidR="006F28EC" w:rsidRPr="00CA30E5">
        <w:rPr>
          <w:sz w:val="26"/>
          <w:szCs w:val="26"/>
        </w:rPr>
        <w:t>коммунальное</w:t>
      </w:r>
      <w:r w:rsidR="009868D1" w:rsidRPr="00CA30E5">
        <w:rPr>
          <w:sz w:val="26"/>
          <w:szCs w:val="26"/>
        </w:rPr>
        <w:t xml:space="preserve"> хозяйство</w:t>
      </w:r>
      <w:r w:rsidR="00EB4323" w:rsidRPr="00CA30E5">
        <w:rPr>
          <w:sz w:val="26"/>
          <w:szCs w:val="26"/>
        </w:rPr>
        <w:t>»</w:t>
      </w:r>
      <w:r w:rsidR="009868D1" w:rsidRPr="00CA30E5">
        <w:rPr>
          <w:sz w:val="26"/>
          <w:szCs w:val="26"/>
        </w:rPr>
        <w:t xml:space="preserve"> – </w:t>
      </w:r>
      <w:r w:rsidR="006F28EC" w:rsidRPr="00CA30E5">
        <w:rPr>
          <w:sz w:val="26"/>
          <w:szCs w:val="26"/>
        </w:rPr>
        <w:t>0,0</w:t>
      </w:r>
      <w:r w:rsidR="009868D1" w:rsidRPr="00CA30E5">
        <w:rPr>
          <w:sz w:val="26"/>
          <w:szCs w:val="26"/>
        </w:rPr>
        <w:t>%, «другие вопросы в области жилищно-коммунального хозяйства» -</w:t>
      </w:r>
      <w:r w:rsidRPr="00CA30E5">
        <w:rPr>
          <w:sz w:val="26"/>
          <w:szCs w:val="26"/>
        </w:rPr>
        <w:t>7,1</w:t>
      </w:r>
      <w:r w:rsidR="009868D1" w:rsidRPr="00CA30E5">
        <w:rPr>
          <w:sz w:val="26"/>
          <w:szCs w:val="26"/>
        </w:rPr>
        <w:t>%);</w:t>
      </w:r>
    </w:p>
    <w:p w:rsidR="006F28EC" w:rsidRPr="00212113" w:rsidRDefault="006F28EC" w:rsidP="009868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«Охрана окружающей среды» - 1,5%;</w:t>
      </w:r>
    </w:p>
    <w:p w:rsidR="009868D1" w:rsidRDefault="009868D1" w:rsidP="009868D1">
      <w:pPr>
        <w:ind w:firstLine="709"/>
        <w:jc w:val="both"/>
        <w:rPr>
          <w:color w:val="000000"/>
          <w:sz w:val="26"/>
          <w:szCs w:val="26"/>
        </w:rPr>
      </w:pPr>
      <w:r w:rsidRPr="00212113">
        <w:rPr>
          <w:sz w:val="26"/>
          <w:szCs w:val="26"/>
        </w:rPr>
        <w:lastRenderedPageBreak/>
        <w:t>- «</w:t>
      </w:r>
      <w:r w:rsidR="00DE61AB">
        <w:rPr>
          <w:color w:val="000000"/>
          <w:sz w:val="26"/>
          <w:szCs w:val="26"/>
        </w:rPr>
        <w:t>Здравоохранение»  - 0,0%.</w:t>
      </w:r>
    </w:p>
    <w:p w:rsidR="009868D1" w:rsidRPr="00212113" w:rsidRDefault="009868D1" w:rsidP="009868D1">
      <w:pPr>
        <w:ind w:firstLine="709"/>
        <w:jc w:val="both"/>
        <w:rPr>
          <w:sz w:val="26"/>
          <w:szCs w:val="26"/>
        </w:rPr>
      </w:pPr>
    </w:p>
    <w:p w:rsidR="009868D1" w:rsidRPr="00212113" w:rsidRDefault="009868D1" w:rsidP="009868D1">
      <w:pPr>
        <w:pStyle w:val="Style3"/>
        <w:widowControl/>
        <w:spacing w:line="228" w:lineRule="auto"/>
        <w:jc w:val="both"/>
        <w:rPr>
          <w:rStyle w:val="FontStyle22"/>
          <w:sz w:val="26"/>
          <w:szCs w:val="26"/>
        </w:rPr>
      </w:pPr>
    </w:p>
    <w:p w:rsidR="009868D1" w:rsidRPr="00212113" w:rsidRDefault="009868D1" w:rsidP="009868D1">
      <w:pPr>
        <w:pStyle w:val="Style3"/>
        <w:widowControl/>
        <w:ind w:firstLine="709"/>
        <w:jc w:val="center"/>
        <w:rPr>
          <w:b/>
          <w:sz w:val="26"/>
          <w:szCs w:val="26"/>
        </w:rPr>
      </w:pPr>
      <w:r w:rsidRPr="00212113">
        <w:rPr>
          <w:b/>
          <w:sz w:val="26"/>
          <w:szCs w:val="26"/>
        </w:rPr>
        <w:t>Дефицит районного бюджета</w:t>
      </w:r>
    </w:p>
    <w:p w:rsidR="009868D1" w:rsidRPr="00212113" w:rsidRDefault="009868D1" w:rsidP="009868D1">
      <w:pPr>
        <w:pStyle w:val="Style3"/>
        <w:widowControl/>
        <w:ind w:firstLine="709"/>
        <w:jc w:val="both"/>
        <w:rPr>
          <w:sz w:val="26"/>
          <w:szCs w:val="26"/>
        </w:rPr>
      </w:pPr>
    </w:p>
    <w:p w:rsidR="009868D1" w:rsidRPr="00212113" w:rsidRDefault="009868D1" w:rsidP="009868D1">
      <w:pPr>
        <w:ind w:firstLine="708"/>
        <w:jc w:val="both"/>
        <w:rPr>
          <w:sz w:val="26"/>
          <w:szCs w:val="26"/>
        </w:rPr>
      </w:pPr>
      <w:r w:rsidRPr="00212113">
        <w:rPr>
          <w:sz w:val="26"/>
          <w:szCs w:val="26"/>
        </w:rPr>
        <w:t xml:space="preserve">В течение отчетного периода  в первоначально утвержденный решением Представительного Собрания района  от  </w:t>
      </w:r>
      <w:r w:rsidR="00CA30E5">
        <w:rPr>
          <w:sz w:val="26"/>
          <w:szCs w:val="26"/>
        </w:rPr>
        <w:t>25.12.2017</w:t>
      </w:r>
      <w:r w:rsidRPr="00212113">
        <w:rPr>
          <w:sz w:val="26"/>
          <w:szCs w:val="26"/>
        </w:rPr>
        <w:t xml:space="preserve"> № </w:t>
      </w:r>
      <w:r w:rsidR="00CA30E5">
        <w:rPr>
          <w:sz w:val="26"/>
          <w:szCs w:val="26"/>
        </w:rPr>
        <w:t>108</w:t>
      </w:r>
      <w:r w:rsidRPr="00212113">
        <w:rPr>
          <w:sz w:val="26"/>
          <w:szCs w:val="26"/>
        </w:rPr>
        <w:t xml:space="preserve">  районный</w:t>
      </w:r>
      <w:r w:rsidR="00CA30E5">
        <w:rPr>
          <w:sz w:val="26"/>
          <w:szCs w:val="26"/>
        </w:rPr>
        <w:t xml:space="preserve"> бездефицитный бюджет </w:t>
      </w:r>
      <w:r w:rsidRPr="00212113">
        <w:rPr>
          <w:sz w:val="26"/>
          <w:szCs w:val="26"/>
        </w:rPr>
        <w:t xml:space="preserve">  внесено изменение. На отчетную дату, в соответствии с решением Представительного Собрания района  от</w:t>
      </w:r>
      <w:r w:rsidR="006F28EC">
        <w:rPr>
          <w:sz w:val="26"/>
          <w:szCs w:val="26"/>
        </w:rPr>
        <w:t xml:space="preserve"> </w:t>
      </w:r>
      <w:r w:rsidR="00CA30E5">
        <w:rPr>
          <w:sz w:val="26"/>
          <w:szCs w:val="26"/>
        </w:rPr>
        <w:t>2</w:t>
      </w:r>
      <w:r w:rsidR="006F28EC">
        <w:rPr>
          <w:sz w:val="26"/>
          <w:szCs w:val="26"/>
        </w:rPr>
        <w:t>7.03.201</w:t>
      </w:r>
      <w:r w:rsidR="00CA30E5">
        <w:rPr>
          <w:sz w:val="26"/>
          <w:szCs w:val="26"/>
        </w:rPr>
        <w:t>8</w:t>
      </w:r>
      <w:r w:rsidR="006F28EC">
        <w:rPr>
          <w:sz w:val="26"/>
          <w:szCs w:val="26"/>
        </w:rPr>
        <w:t xml:space="preserve"> №2</w:t>
      </w:r>
      <w:r w:rsidR="00CA30E5">
        <w:rPr>
          <w:sz w:val="26"/>
          <w:szCs w:val="26"/>
        </w:rPr>
        <w:t>3</w:t>
      </w:r>
      <w:r w:rsidRPr="00212113">
        <w:rPr>
          <w:sz w:val="26"/>
          <w:szCs w:val="26"/>
        </w:rPr>
        <w:t xml:space="preserve">, профицит районного бюджета составляет </w:t>
      </w:r>
      <w:r w:rsidR="00CA30E5">
        <w:rPr>
          <w:sz w:val="26"/>
          <w:szCs w:val="26"/>
        </w:rPr>
        <w:t>1623,3</w:t>
      </w:r>
      <w:r w:rsidRPr="00212113">
        <w:rPr>
          <w:sz w:val="26"/>
          <w:szCs w:val="26"/>
        </w:rPr>
        <w:t xml:space="preserve"> тыс. руб.  Фактически 1 квартал 201</w:t>
      </w:r>
      <w:r w:rsidR="00CA30E5">
        <w:rPr>
          <w:sz w:val="26"/>
          <w:szCs w:val="26"/>
        </w:rPr>
        <w:t>8</w:t>
      </w:r>
      <w:r w:rsidRPr="00212113">
        <w:rPr>
          <w:sz w:val="26"/>
          <w:szCs w:val="26"/>
        </w:rPr>
        <w:t xml:space="preserve"> года исполнен с </w:t>
      </w:r>
      <w:r w:rsidR="00D2039E">
        <w:rPr>
          <w:sz w:val="26"/>
          <w:szCs w:val="26"/>
        </w:rPr>
        <w:t xml:space="preserve">дефицитом в сумме </w:t>
      </w:r>
      <w:r w:rsidR="00CA30E5">
        <w:rPr>
          <w:sz w:val="26"/>
          <w:szCs w:val="26"/>
        </w:rPr>
        <w:t>22886,4</w:t>
      </w:r>
      <w:r w:rsidRPr="00212113">
        <w:rPr>
          <w:sz w:val="26"/>
          <w:szCs w:val="26"/>
        </w:rPr>
        <w:t xml:space="preserve">  тыс. рублей.</w:t>
      </w:r>
    </w:p>
    <w:p w:rsidR="009868D1" w:rsidRDefault="009868D1" w:rsidP="00D2039E">
      <w:pPr>
        <w:ind w:firstLine="708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Объем муниципального долга  по состоянию на 01.04.201</w:t>
      </w:r>
      <w:r w:rsidR="00CA30E5">
        <w:rPr>
          <w:sz w:val="26"/>
          <w:szCs w:val="26"/>
        </w:rPr>
        <w:t xml:space="preserve">8 по </w:t>
      </w:r>
      <w:r w:rsidR="004400BD">
        <w:rPr>
          <w:sz w:val="26"/>
          <w:szCs w:val="26"/>
        </w:rPr>
        <w:t>данным</w:t>
      </w:r>
      <w:r w:rsidR="00CA30E5">
        <w:rPr>
          <w:sz w:val="26"/>
          <w:szCs w:val="26"/>
        </w:rPr>
        <w:t xml:space="preserve"> муниципальной долговой книги </w:t>
      </w:r>
      <w:r w:rsidRPr="00212113">
        <w:rPr>
          <w:sz w:val="26"/>
          <w:szCs w:val="26"/>
        </w:rPr>
        <w:t xml:space="preserve"> составляет  </w:t>
      </w:r>
      <w:r w:rsidR="00CA30E5">
        <w:rPr>
          <w:sz w:val="26"/>
          <w:szCs w:val="26"/>
        </w:rPr>
        <w:t>25390,0</w:t>
      </w:r>
      <w:r w:rsidR="00D2039E">
        <w:rPr>
          <w:sz w:val="26"/>
          <w:szCs w:val="26"/>
        </w:rPr>
        <w:t xml:space="preserve"> </w:t>
      </w:r>
      <w:r w:rsidRPr="00212113">
        <w:rPr>
          <w:sz w:val="26"/>
          <w:szCs w:val="26"/>
        </w:rPr>
        <w:t>ты</w:t>
      </w:r>
      <w:r w:rsidR="004400BD">
        <w:rPr>
          <w:sz w:val="26"/>
          <w:szCs w:val="26"/>
        </w:rPr>
        <w:t>с. рублей по основному долгу.</w:t>
      </w:r>
    </w:p>
    <w:p w:rsidR="004400BD" w:rsidRDefault="004400BD" w:rsidP="000678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Кредиторская задолженность</w:t>
      </w:r>
      <w:r w:rsidR="00067856">
        <w:rPr>
          <w:sz w:val="26"/>
          <w:szCs w:val="26"/>
        </w:rPr>
        <w:t xml:space="preserve"> по состоянию на 01.01.2018 года составляла 39565,2 тыс. рублей </w:t>
      </w:r>
      <w:r w:rsidR="00D53BB0">
        <w:rPr>
          <w:sz w:val="26"/>
          <w:szCs w:val="26"/>
        </w:rPr>
        <w:t xml:space="preserve"> (в </w:t>
      </w:r>
      <w:proofErr w:type="spellStart"/>
      <w:r w:rsidR="00D53BB0">
        <w:rPr>
          <w:sz w:val="26"/>
          <w:szCs w:val="26"/>
        </w:rPr>
        <w:t>т.ч</w:t>
      </w:r>
      <w:proofErr w:type="spellEnd"/>
      <w:r w:rsidR="00D53BB0">
        <w:rPr>
          <w:sz w:val="26"/>
          <w:szCs w:val="26"/>
        </w:rPr>
        <w:t xml:space="preserve">. просроченная </w:t>
      </w:r>
      <w:r w:rsidR="00067856">
        <w:rPr>
          <w:sz w:val="26"/>
          <w:szCs w:val="26"/>
        </w:rPr>
        <w:t>24483,9</w:t>
      </w:r>
      <w:r w:rsidR="00D53BB0">
        <w:rPr>
          <w:sz w:val="26"/>
          <w:szCs w:val="26"/>
        </w:rPr>
        <w:t xml:space="preserve"> тыс. рублей), по состоянию на 01.04.2018  кредиторская задолженность составила </w:t>
      </w:r>
      <w:r w:rsidR="00067856">
        <w:rPr>
          <w:sz w:val="26"/>
          <w:szCs w:val="26"/>
        </w:rPr>
        <w:t>24966,3</w:t>
      </w:r>
      <w:r w:rsidR="00D53BB0">
        <w:rPr>
          <w:sz w:val="26"/>
          <w:szCs w:val="26"/>
        </w:rPr>
        <w:t xml:space="preserve"> тыс. рублей (в </w:t>
      </w:r>
      <w:proofErr w:type="spellStart"/>
      <w:r w:rsidR="00D53BB0">
        <w:rPr>
          <w:sz w:val="26"/>
          <w:szCs w:val="26"/>
        </w:rPr>
        <w:t>т.ч</w:t>
      </w:r>
      <w:proofErr w:type="spellEnd"/>
      <w:r w:rsidR="00D53BB0">
        <w:rPr>
          <w:sz w:val="26"/>
          <w:szCs w:val="26"/>
        </w:rPr>
        <w:t xml:space="preserve">. просроченная </w:t>
      </w:r>
      <w:r w:rsidR="00067856">
        <w:rPr>
          <w:sz w:val="26"/>
          <w:szCs w:val="26"/>
        </w:rPr>
        <w:t xml:space="preserve">7253,6 тыс. рублей). Снижение  кредиторской задолженности </w:t>
      </w:r>
      <w:r w:rsidR="00DE61AB">
        <w:rPr>
          <w:sz w:val="26"/>
          <w:szCs w:val="26"/>
        </w:rPr>
        <w:t xml:space="preserve">за 1 квартал 2018 года </w:t>
      </w:r>
      <w:r w:rsidR="00067856">
        <w:rPr>
          <w:sz w:val="26"/>
          <w:szCs w:val="26"/>
        </w:rPr>
        <w:t xml:space="preserve">составило 36,9%. </w:t>
      </w:r>
    </w:p>
    <w:p w:rsidR="00067856" w:rsidRDefault="00067856" w:rsidP="00067856">
      <w:pPr>
        <w:ind w:firstLine="708"/>
        <w:jc w:val="both"/>
        <w:rPr>
          <w:sz w:val="26"/>
          <w:szCs w:val="26"/>
        </w:rPr>
      </w:pPr>
    </w:p>
    <w:p w:rsidR="009868D1" w:rsidRPr="00212113" w:rsidRDefault="009868D1" w:rsidP="009868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68D1" w:rsidRPr="00212113" w:rsidRDefault="009868D1" w:rsidP="009868D1">
      <w:pPr>
        <w:tabs>
          <w:tab w:val="left" w:pos="720"/>
        </w:tabs>
        <w:ind w:firstLine="709"/>
        <w:jc w:val="both"/>
        <w:rPr>
          <w:b/>
          <w:sz w:val="26"/>
          <w:szCs w:val="26"/>
        </w:rPr>
      </w:pPr>
    </w:p>
    <w:p w:rsidR="009868D1" w:rsidRPr="00212113" w:rsidRDefault="009868D1" w:rsidP="009868D1">
      <w:pPr>
        <w:tabs>
          <w:tab w:val="left" w:pos="720"/>
        </w:tabs>
        <w:ind w:firstLine="709"/>
        <w:jc w:val="both"/>
        <w:rPr>
          <w:b/>
          <w:sz w:val="26"/>
          <w:szCs w:val="26"/>
        </w:rPr>
      </w:pPr>
    </w:p>
    <w:p w:rsidR="009868D1" w:rsidRPr="00212113" w:rsidRDefault="009868D1" w:rsidP="009868D1">
      <w:pPr>
        <w:tabs>
          <w:tab w:val="left" w:pos="720"/>
        </w:tabs>
        <w:ind w:firstLine="709"/>
        <w:jc w:val="both"/>
        <w:rPr>
          <w:b/>
          <w:sz w:val="26"/>
          <w:szCs w:val="26"/>
        </w:rPr>
      </w:pPr>
    </w:p>
    <w:p w:rsidR="00744C22" w:rsidRPr="00212113" w:rsidRDefault="009868D1" w:rsidP="00D53BB0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212113">
        <w:rPr>
          <w:sz w:val="26"/>
          <w:szCs w:val="26"/>
        </w:rPr>
        <w:t>Председатель КСК района                       Н.А. Спажева</w:t>
      </w:r>
    </w:p>
    <w:sectPr w:rsidR="00744C22" w:rsidRPr="0021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3F"/>
    <w:rsid w:val="00021446"/>
    <w:rsid w:val="00067856"/>
    <w:rsid w:val="0009700D"/>
    <w:rsid w:val="001B56FB"/>
    <w:rsid w:val="001F56D6"/>
    <w:rsid w:val="00200AEE"/>
    <w:rsid w:val="00212113"/>
    <w:rsid w:val="002553E8"/>
    <w:rsid w:val="002A199A"/>
    <w:rsid w:val="002C355E"/>
    <w:rsid w:val="002D22D5"/>
    <w:rsid w:val="003476DE"/>
    <w:rsid w:val="004400BD"/>
    <w:rsid w:val="004511BD"/>
    <w:rsid w:val="0054119C"/>
    <w:rsid w:val="0057578B"/>
    <w:rsid w:val="006044AC"/>
    <w:rsid w:val="006F28EC"/>
    <w:rsid w:val="00744C22"/>
    <w:rsid w:val="007D6F3F"/>
    <w:rsid w:val="00894DA1"/>
    <w:rsid w:val="009868D1"/>
    <w:rsid w:val="009E42BE"/>
    <w:rsid w:val="00AB0346"/>
    <w:rsid w:val="00B3106A"/>
    <w:rsid w:val="00BD61B0"/>
    <w:rsid w:val="00CA30E5"/>
    <w:rsid w:val="00D2039E"/>
    <w:rsid w:val="00D41508"/>
    <w:rsid w:val="00D53BB0"/>
    <w:rsid w:val="00DE61AB"/>
    <w:rsid w:val="00E231EC"/>
    <w:rsid w:val="00EB4323"/>
    <w:rsid w:val="00F9170F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868D1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semiHidden/>
    <w:locked/>
    <w:rsid w:val="009868D1"/>
    <w:rPr>
      <w:sz w:val="24"/>
      <w:szCs w:val="24"/>
      <w:lang w:val="x-none" w:eastAsia="x-none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semiHidden/>
    <w:unhideWhenUsed/>
    <w:rsid w:val="009868D1"/>
    <w:pPr>
      <w:ind w:firstLine="567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986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868D1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9868D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868D1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9868D1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9868D1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E42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2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868D1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semiHidden/>
    <w:locked/>
    <w:rsid w:val="009868D1"/>
    <w:rPr>
      <w:sz w:val="24"/>
      <w:szCs w:val="24"/>
      <w:lang w:val="x-none" w:eastAsia="x-none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semiHidden/>
    <w:unhideWhenUsed/>
    <w:rsid w:val="009868D1"/>
    <w:pPr>
      <w:ind w:firstLine="567"/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986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868D1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9868D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868D1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9868D1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9868D1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E42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2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B4E0-833E-4024-9123-41D84E27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Спажева</cp:lastModifiedBy>
  <cp:revision>13</cp:revision>
  <cp:lastPrinted>2018-04-19T06:17:00Z</cp:lastPrinted>
  <dcterms:created xsi:type="dcterms:W3CDTF">2017-05-19T08:10:00Z</dcterms:created>
  <dcterms:modified xsi:type="dcterms:W3CDTF">2018-04-19T07:13:00Z</dcterms:modified>
</cp:coreProperties>
</file>