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DD" w:rsidRDefault="00986CD7" w:rsidP="00E23E2E">
      <w:pPr>
        <w:spacing w:after="0" w:line="240" w:lineRule="auto"/>
        <w:rPr>
          <w:rFonts w:ascii="Times New Roman" w:hAnsi="Times New Roman"/>
          <w:sz w:val="28"/>
          <w:szCs w:val="28"/>
        </w:rPr>
      </w:pPr>
      <w:r>
        <w:rPr>
          <w:rFonts w:ascii="Times New Roman" w:hAnsi="Times New Roman"/>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C2EDD" w:rsidTr="00986CD7">
        <w:tc>
          <w:tcPr>
            <w:tcW w:w="5210" w:type="dxa"/>
          </w:tcPr>
          <w:p w:rsidR="00FC2EDD" w:rsidRDefault="00FC2EDD" w:rsidP="00E23E2E">
            <w:pPr>
              <w:rPr>
                <w:rFonts w:ascii="Times New Roman" w:hAnsi="Times New Roman"/>
                <w:sz w:val="28"/>
                <w:szCs w:val="28"/>
              </w:rPr>
            </w:pPr>
          </w:p>
        </w:tc>
        <w:tc>
          <w:tcPr>
            <w:tcW w:w="5211" w:type="dxa"/>
          </w:tcPr>
          <w:p w:rsidR="00FC2EDD" w:rsidRPr="000B679A" w:rsidRDefault="00FC2EDD" w:rsidP="00FC2EDD">
            <w:pPr>
              <w:rPr>
                <w:rFonts w:ascii="Times New Roman" w:hAnsi="Times New Roman"/>
                <w:sz w:val="28"/>
                <w:szCs w:val="28"/>
              </w:rPr>
            </w:pPr>
            <w:r w:rsidRPr="000B679A">
              <w:rPr>
                <w:rFonts w:ascii="Times New Roman" w:hAnsi="Times New Roman"/>
                <w:sz w:val="28"/>
                <w:szCs w:val="28"/>
              </w:rPr>
              <w:t>УТВЕРЖДЕН</w:t>
            </w:r>
            <w:r w:rsidR="008E1BDC">
              <w:rPr>
                <w:rFonts w:ascii="Times New Roman" w:hAnsi="Times New Roman"/>
                <w:sz w:val="28"/>
                <w:szCs w:val="28"/>
              </w:rPr>
              <w:t>А</w:t>
            </w:r>
            <w:r>
              <w:rPr>
                <w:rFonts w:ascii="Times New Roman" w:hAnsi="Times New Roman"/>
                <w:sz w:val="28"/>
                <w:szCs w:val="28"/>
              </w:rPr>
              <w:t>:</w:t>
            </w:r>
            <w:r w:rsidRPr="000B679A">
              <w:rPr>
                <w:rFonts w:ascii="Times New Roman" w:hAnsi="Times New Roman"/>
                <w:sz w:val="28"/>
                <w:szCs w:val="28"/>
              </w:rPr>
              <w:t xml:space="preserve"> </w:t>
            </w:r>
          </w:p>
          <w:p w:rsidR="008D2832" w:rsidRDefault="00FC2EDD" w:rsidP="00FC2EDD">
            <w:pPr>
              <w:rPr>
                <w:rFonts w:ascii="Times New Roman" w:hAnsi="Times New Roman"/>
                <w:sz w:val="28"/>
                <w:szCs w:val="28"/>
              </w:rPr>
            </w:pPr>
            <w:r>
              <w:rPr>
                <w:rFonts w:ascii="Times New Roman" w:hAnsi="Times New Roman"/>
                <w:sz w:val="28"/>
                <w:szCs w:val="28"/>
              </w:rPr>
              <w:t>приказом  контрольно-счетного</w:t>
            </w:r>
            <w:r w:rsidRPr="000B679A">
              <w:rPr>
                <w:rFonts w:ascii="Times New Roman" w:hAnsi="Times New Roman"/>
                <w:sz w:val="28"/>
                <w:szCs w:val="28"/>
              </w:rPr>
              <w:t xml:space="preserve">                                                                                        </w:t>
            </w:r>
            <w:r>
              <w:rPr>
                <w:rFonts w:ascii="Times New Roman" w:hAnsi="Times New Roman"/>
                <w:sz w:val="28"/>
                <w:szCs w:val="28"/>
              </w:rPr>
              <w:t xml:space="preserve">  органа</w:t>
            </w:r>
            <w:r w:rsidRPr="000B679A">
              <w:rPr>
                <w:rFonts w:ascii="Times New Roman" w:hAnsi="Times New Roman"/>
                <w:sz w:val="28"/>
                <w:szCs w:val="28"/>
              </w:rPr>
              <w:t xml:space="preserve"> Белозерского</w:t>
            </w:r>
            <w:r w:rsidR="008D2832">
              <w:rPr>
                <w:rFonts w:ascii="Times New Roman" w:hAnsi="Times New Roman"/>
                <w:sz w:val="28"/>
                <w:szCs w:val="28"/>
              </w:rPr>
              <w:t xml:space="preserve"> </w:t>
            </w:r>
          </w:p>
          <w:p w:rsidR="00FC2EDD" w:rsidRPr="00FC2EDD" w:rsidRDefault="008D2832" w:rsidP="00FC2EDD">
            <w:pPr>
              <w:rPr>
                <w:rFonts w:ascii="Times New Roman" w:hAnsi="Times New Roman"/>
                <w:sz w:val="28"/>
                <w:szCs w:val="28"/>
              </w:rPr>
            </w:pPr>
            <w:bookmarkStart w:id="0" w:name="_GoBack"/>
            <w:bookmarkEnd w:id="0"/>
            <w:r>
              <w:rPr>
                <w:rFonts w:ascii="Times New Roman" w:hAnsi="Times New Roman"/>
                <w:sz w:val="28"/>
                <w:szCs w:val="28"/>
              </w:rPr>
              <w:t>муниципального</w:t>
            </w:r>
            <w:r w:rsidR="00FC2EDD" w:rsidRPr="000B679A">
              <w:rPr>
                <w:rFonts w:ascii="Times New Roman" w:hAnsi="Times New Roman"/>
                <w:sz w:val="28"/>
                <w:szCs w:val="28"/>
              </w:rPr>
              <w:t xml:space="preserve"> района                                                   </w:t>
            </w:r>
            <w:r w:rsidR="00FC2EDD">
              <w:rPr>
                <w:rFonts w:ascii="Times New Roman" w:hAnsi="Times New Roman"/>
                <w:sz w:val="28"/>
                <w:szCs w:val="28"/>
              </w:rPr>
              <w:t xml:space="preserve">                             от 02.07.2020 </w:t>
            </w:r>
            <w:r w:rsidR="00FC2EDD" w:rsidRPr="000B679A">
              <w:rPr>
                <w:rFonts w:ascii="Times New Roman" w:hAnsi="Times New Roman"/>
                <w:sz w:val="28"/>
                <w:szCs w:val="28"/>
              </w:rPr>
              <w:t>№</w:t>
            </w:r>
            <w:r w:rsidR="00FC2EDD">
              <w:rPr>
                <w:rFonts w:ascii="Times New Roman" w:hAnsi="Times New Roman"/>
                <w:sz w:val="28"/>
                <w:szCs w:val="28"/>
              </w:rPr>
              <w:t xml:space="preserve"> 7</w:t>
            </w:r>
          </w:p>
          <w:p w:rsidR="00FC2EDD" w:rsidRDefault="00FC2EDD" w:rsidP="00E23E2E">
            <w:pPr>
              <w:rPr>
                <w:rFonts w:ascii="Times New Roman" w:hAnsi="Times New Roman"/>
                <w:sz w:val="28"/>
                <w:szCs w:val="28"/>
              </w:rPr>
            </w:pPr>
          </w:p>
        </w:tc>
      </w:tr>
    </w:tbl>
    <w:p w:rsidR="00E23E2E" w:rsidRPr="00FC2EDD" w:rsidRDefault="00E23E2E" w:rsidP="00FC2EDD">
      <w:pPr>
        <w:spacing w:after="0" w:line="240" w:lineRule="auto"/>
        <w:rPr>
          <w:rFonts w:ascii="Times New Roman" w:hAnsi="Times New Roman"/>
          <w:sz w:val="28"/>
          <w:szCs w:val="28"/>
        </w:rPr>
      </w:pPr>
      <w:r>
        <w:rPr>
          <w:rFonts w:ascii="Times New Roman" w:hAnsi="Times New Roman"/>
          <w:sz w:val="28"/>
          <w:szCs w:val="28"/>
        </w:rPr>
        <w:t xml:space="preserve">                                                                  </w:t>
      </w:r>
      <w:r w:rsidR="00292874">
        <w:rPr>
          <w:rFonts w:ascii="Times New Roman" w:hAnsi="Times New Roman"/>
          <w:sz w:val="28"/>
          <w:szCs w:val="28"/>
        </w:rPr>
        <w:t xml:space="preserve">  </w:t>
      </w:r>
    </w:p>
    <w:p w:rsidR="00E23E2E" w:rsidRDefault="00E23E2E" w:rsidP="00E10508">
      <w:pPr>
        <w:spacing w:after="0" w:line="240" w:lineRule="auto"/>
        <w:ind w:left="-360" w:firstLine="360"/>
        <w:jc w:val="center"/>
        <w:outlineLvl w:val="0"/>
        <w:rPr>
          <w:rFonts w:ascii="Times New Roman" w:hAnsi="Times New Roman"/>
          <w:b/>
          <w:sz w:val="24"/>
          <w:szCs w:val="24"/>
        </w:rPr>
      </w:pPr>
    </w:p>
    <w:p w:rsidR="00E10508" w:rsidRDefault="00E10508" w:rsidP="00E10508">
      <w:pPr>
        <w:spacing w:after="0" w:line="240" w:lineRule="auto"/>
        <w:ind w:left="-360" w:firstLine="360"/>
        <w:jc w:val="center"/>
        <w:outlineLvl w:val="0"/>
        <w:rPr>
          <w:rFonts w:ascii="Times New Roman" w:hAnsi="Times New Roman"/>
          <w:b/>
          <w:sz w:val="24"/>
          <w:szCs w:val="24"/>
        </w:rPr>
      </w:pPr>
      <w:r>
        <w:rPr>
          <w:rFonts w:ascii="Times New Roman" w:hAnsi="Times New Roman"/>
          <w:b/>
          <w:sz w:val="24"/>
          <w:szCs w:val="24"/>
        </w:rPr>
        <w:t>МЕТОДИКА</w:t>
      </w:r>
    </w:p>
    <w:p w:rsidR="00E10508" w:rsidRDefault="00E10508" w:rsidP="00E10508">
      <w:pPr>
        <w:spacing w:after="0" w:line="240" w:lineRule="auto"/>
        <w:ind w:left="-360" w:firstLine="360"/>
        <w:jc w:val="center"/>
        <w:outlineLvl w:val="0"/>
        <w:rPr>
          <w:rFonts w:ascii="Times New Roman" w:hAnsi="Times New Roman"/>
          <w:b/>
          <w:sz w:val="24"/>
          <w:szCs w:val="24"/>
        </w:rPr>
      </w:pPr>
    </w:p>
    <w:p w:rsidR="00E10508" w:rsidRDefault="00E10508" w:rsidP="00E10508">
      <w:pPr>
        <w:spacing w:after="0" w:line="240" w:lineRule="auto"/>
        <w:ind w:left="-360" w:firstLine="360"/>
        <w:jc w:val="center"/>
        <w:rPr>
          <w:rFonts w:ascii="Times New Roman" w:hAnsi="Times New Roman"/>
          <w:b/>
          <w:sz w:val="28"/>
          <w:szCs w:val="28"/>
        </w:rPr>
      </w:pPr>
      <w:r>
        <w:rPr>
          <w:rFonts w:ascii="Times New Roman" w:hAnsi="Times New Roman"/>
          <w:b/>
          <w:sz w:val="28"/>
          <w:szCs w:val="28"/>
        </w:rPr>
        <w:t>проведения финансовой экспертизы проекта решения о бюджете</w:t>
      </w:r>
    </w:p>
    <w:p w:rsidR="00E10508" w:rsidRDefault="00E10508" w:rsidP="00E10508">
      <w:pPr>
        <w:spacing w:after="0" w:line="240" w:lineRule="auto"/>
        <w:ind w:left="-360" w:firstLine="360"/>
        <w:jc w:val="center"/>
        <w:rPr>
          <w:rFonts w:ascii="Times New Roman" w:hAnsi="Times New Roman"/>
          <w:b/>
          <w:sz w:val="28"/>
          <w:szCs w:val="28"/>
        </w:rPr>
      </w:pPr>
      <w:r>
        <w:rPr>
          <w:rFonts w:ascii="Times New Roman" w:hAnsi="Times New Roman"/>
          <w:b/>
          <w:sz w:val="28"/>
          <w:szCs w:val="28"/>
        </w:rPr>
        <w:t>муниципального образования  на   финансовый год и плановый  период</w:t>
      </w:r>
    </w:p>
    <w:p w:rsidR="00E10508" w:rsidRDefault="00E10508" w:rsidP="00E10508">
      <w:pPr>
        <w:spacing w:after="0" w:line="240" w:lineRule="auto"/>
        <w:ind w:left="-360" w:firstLine="360"/>
        <w:jc w:val="center"/>
        <w:rPr>
          <w:rFonts w:ascii="Times New Roman" w:hAnsi="Times New Roman"/>
          <w:sz w:val="28"/>
          <w:szCs w:val="28"/>
        </w:rPr>
      </w:pPr>
    </w:p>
    <w:p w:rsidR="00E10508" w:rsidRDefault="00E10508" w:rsidP="00E10508">
      <w:pPr>
        <w:spacing w:after="0" w:line="240" w:lineRule="auto"/>
        <w:ind w:left="-360" w:firstLine="360"/>
        <w:jc w:val="center"/>
        <w:rPr>
          <w:rFonts w:ascii="Times New Roman" w:hAnsi="Times New Roman"/>
          <w:sz w:val="28"/>
          <w:szCs w:val="28"/>
        </w:rPr>
      </w:pPr>
    </w:p>
    <w:p w:rsidR="00E10508" w:rsidRPr="006D4392" w:rsidRDefault="001E72E4" w:rsidP="007D7FE4">
      <w:pPr>
        <w:spacing w:after="0" w:line="240" w:lineRule="auto"/>
        <w:ind w:left="-360" w:firstLine="1068"/>
        <w:jc w:val="center"/>
        <w:outlineLvl w:val="0"/>
        <w:rPr>
          <w:rFonts w:ascii="Times New Roman" w:hAnsi="Times New Roman"/>
          <w:b/>
          <w:sz w:val="28"/>
          <w:szCs w:val="28"/>
        </w:rPr>
      </w:pPr>
      <w:r>
        <w:rPr>
          <w:rFonts w:ascii="Times New Roman" w:hAnsi="Times New Roman"/>
          <w:b/>
          <w:sz w:val="28"/>
          <w:szCs w:val="28"/>
        </w:rPr>
        <w:t>1</w:t>
      </w:r>
      <w:r w:rsidR="00E10508" w:rsidRPr="006D4392">
        <w:rPr>
          <w:rFonts w:ascii="Times New Roman" w:hAnsi="Times New Roman"/>
          <w:b/>
          <w:sz w:val="28"/>
          <w:szCs w:val="28"/>
        </w:rPr>
        <w:t>. Общие положения</w:t>
      </w:r>
    </w:p>
    <w:p w:rsidR="00E10508" w:rsidRDefault="00E10508" w:rsidP="00E10508">
      <w:pPr>
        <w:spacing w:after="0" w:line="240" w:lineRule="auto"/>
        <w:ind w:left="-360" w:firstLine="360"/>
        <w:jc w:val="both"/>
        <w:rPr>
          <w:rFonts w:ascii="Times New Roman" w:hAnsi="Times New Roman"/>
          <w:b/>
          <w:sz w:val="28"/>
          <w:szCs w:val="28"/>
          <w:u w:val="single"/>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Данная методика определяет порядок организации и проведения, а также содержание финансовой экспертизы проекта решения о бюджете муниципального образования  на  финансовый год и плановый период.</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При подготовке настоящей Методики был использован Стандарт СФК 201 «Предварительный контроль формирования проекта федерального бюджета», утвержденный решением Коллегии Счетной палаты Российской Федерации от  15 июля 2011 года</w:t>
      </w:r>
      <w:r w:rsidR="00051D1F">
        <w:rPr>
          <w:rFonts w:ascii="Times New Roman" w:hAnsi="Times New Roman"/>
          <w:sz w:val="28"/>
          <w:szCs w:val="28"/>
        </w:rPr>
        <w:t>.</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Методика разработана с целью установления единых принципов, правил и процедур </w:t>
      </w:r>
      <w:proofErr w:type="gramStart"/>
      <w:r>
        <w:rPr>
          <w:rFonts w:ascii="Times New Roman" w:hAnsi="Times New Roman"/>
          <w:sz w:val="28"/>
          <w:szCs w:val="28"/>
        </w:rPr>
        <w:t>проведения предварительного контроля формирования проекта бюджета</w:t>
      </w:r>
      <w:proofErr w:type="gramEnd"/>
      <w:r>
        <w:rPr>
          <w:rFonts w:ascii="Times New Roman" w:hAnsi="Times New Roman"/>
          <w:sz w:val="28"/>
          <w:szCs w:val="28"/>
        </w:rPr>
        <w:t xml:space="preserve"> на очередной финансовый год и на плановый период, а также проведения экспертизы проекта и подготовки соответствующего заключения на проект решения представительного органа муниципального образования.</w:t>
      </w:r>
    </w:p>
    <w:p w:rsidR="00944CD2" w:rsidRDefault="00944CD2"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Процесс внешнего аудита бюджета делится  на 3 этапа: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первый этап – проведение финансовой экспертизы проекта решения о бюджете муниципального образования на предстоящий финансовый год и плановый период. Проводится перед принятием бюджета на предстоящий финансовый год и плановый период в порядке предварительного финансового контроля;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второй этап – проведение проверок конкретных участников бюджетного процесса на предмет целевого и эффективного расходования бюджетных средств, экспертиза проектов решений о внесении изменений в решения о бюджете, мониторинг исполнения бюджета в течение финансового года и информирование депутатов о допущенных отклонениях, иная экспертно-аналитическая и информационная деятельность. Проводится в течение всего финансового года в порядке текущего финансового контроля;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третий, основной этап – проведение внешней проверки отчета об исполнении бюджета муниципального образования. Проводится на заключительном этапе </w:t>
      </w:r>
      <w:r>
        <w:rPr>
          <w:rFonts w:ascii="Times New Roman" w:hAnsi="Times New Roman"/>
          <w:sz w:val="28"/>
          <w:szCs w:val="28"/>
        </w:rPr>
        <w:lastRenderedPageBreak/>
        <w:t>бюджетного процесса перед принятием представительным органом отчета об исполнении бюджета в порядке последующего финансового контроля.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Данная экспертиза как первый этап внешнего аудита бюджета имеет следующие параметры.</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outlineLvl w:val="0"/>
        <w:rPr>
          <w:rFonts w:ascii="Times New Roman" w:hAnsi="Times New Roman"/>
          <w:b/>
          <w:sz w:val="28"/>
          <w:szCs w:val="28"/>
        </w:rPr>
      </w:pPr>
      <w:r>
        <w:rPr>
          <w:rFonts w:ascii="Times New Roman" w:hAnsi="Times New Roman"/>
          <w:b/>
          <w:sz w:val="28"/>
          <w:szCs w:val="28"/>
        </w:rPr>
        <w:t>Субъект экспертизы:</w:t>
      </w:r>
    </w:p>
    <w:p w:rsidR="00E10508" w:rsidRDefault="007D7FE4" w:rsidP="00E10508">
      <w:pPr>
        <w:spacing w:after="0" w:line="240" w:lineRule="auto"/>
        <w:ind w:left="-360" w:firstLine="360"/>
        <w:jc w:val="both"/>
        <w:outlineLvl w:val="0"/>
        <w:rPr>
          <w:rFonts w:ascii="Times New Roman" w:hAnsi="Times New Roman"/>
          <w:sz w:val="28"/>
          <w:szCs w:val="28"/>
        </w:rPr>
      </w:pPr>
      <w:r>
        <w:rPr>
          <w:rFonts w:ascii="Times New Roman" w:hAnsi="Times New Roman"/>
          <w:sz w:val="28"/>
          <w:szCs w:val="28"/>
        </w:rPr>
        <w:t>Контрольно-счетный</w:t>
      </w:r>
      <w:r w:rsidR="00E10508">
        <w:rPr>
          <w:rFonts w:ascii="Times New Roman" w:hAnsi="Times New Roman"/>
          <w:sz w:val="28"/>
          <w:szCs w:val="28"/>
        </w:rPr>
        <w:t xml:space="preserve"> </w:t>
      </w:r>
      <w:r>
        <w:rPr>
          <w:rFonts w:ascii="Times New Roman" w:hAnsi="Times New Roman"/>
          <w:sz w:val="28"/>
          <w:szCs w:val="28"/>
        </w:rPr>
        <w:t>орган</w:t>
      </w:r>
      <w:r w:rsidR="00E10508">
        <w:rPr>
          <w:rFonts w:ascii="Times New Roman" w:hAnsi="Times New Roman"/>
          <w:sz w:val="28"/>
          <w:szCs w:val="28"/>
        </w:rPr>
        <w:t xml:space="preserve"> Белозерского муниципального района </w:t>
      </w:r>
    </w:p>
    <w:p w:rsidR="002136C2" w:rsidRPr="00944CD2" w:rsidRDefault="002136C2" w:rsidP="00944CD2">
      <w:pPr>
        <w:pStyle w:val="s1"/>
        <w:shd w:val="clear" w:color="auto" w:fill="FFFFFF"/>
        <w:spacing w:before="0" w:beforeAutospacing="0" w:after="0" w:afterAutospacing="0"/>
        <w:rPr>
          <w:b/>
          <w:color w:val="000000"/>
          <w:sz w:val="28"/>
          <w:szCs w:val="28"/>
        </w:rPr>
      </w:pPr>
      <w:r w:rsidRPr="00944CD2">
        <w:rPr>
          <w:b/>
          <w:color w:val="000000"/>
          <w:sz w:val="28"/>
          <w:szCs w:val="28"/>
        </w:rPr>
        <w:t xml:space="preserve">Объектами предварительного контроля формирования проекта  бюджета </w:t>
      </w:r>
      <w:r w:rsidR="00944CD2" w:rsidRPr="00944CD2">
        <w:rPr>
          <w:b/>
          <w:color w:val="000000"/>
          <w:sz w:val="28"/>
          <w:szCs w:val="28"/>
        </w:rPr>
        <w:t xml:space="preserve"> </w:t>
      </w:r>
      <w:r w:rsidRPr="00944CD2">
        <w:rPr>
          <w:b/>
          <w:color w:val="000000"/>
          <w:sz w:val="28"/>
          <w:szCs w:val="28"/>
        </w:rPr>
        <w:t>на очередной финансовый год и на плановый период являются:</w:t>
      </w:r>
    </w:p>
    <w:p w:rsidR="00944CD2" w:rsidRPr="00944CD2" w:rsidRDefault="00944CD2" w:rsidP="00944CD2">
      <w:pPr>
        <w:pStyle w:val="s1"/>
        <w:shd w:val="clear" w:color="auto" w:fill="FFFFFF"/>
        <w:spacing w:before="0" w:beforeAutospacing="0" w:after="0" w:afterAutospacing="0"/>
        <w:rPr>
          <w:color w:val="000000"/>
          <w:sz w:val="28"/>
          <w:szCs w:val="28"/>
        </w:rPr>
      </w:pPr>
      <w:r>
        <w:rPr>
          <w:color w:val="000000"/>
          <w:sz w:val="28"/>
          <w:szCs w:val="28"/>
        </w:rPr>
        <w:tab/>
      </w:r>
      <w:r w:rsidRPr="00944CD2">
        <w:rPr>
          <w:color w:val="000000"/>
          <w:sz w:val="28"/>
          <w:szCs w:val="28"/>
        </w:rPr>
        <w:t>Финансовое управление Белозерского муниципального района;</w:t>
      </w:r>
    </w:p>
    <w:p w:rsidR="002136C2" w:rsidRPr="00944CD2" w:rsidRDefault="00944CD2" w:rsidP="00944CD2">
      <w:pPr>
        <w:pStyle w:val="s1"/>
        <w:shd w:val="clear" w:color="auto" w:fill="FFFFFF"/>
        <w:spacing w:before="0" w:beforeAutospacing="0" w:after="0" w:afterAutospacing="0"/>
        <w:rPr>
          <w:color w:val="000000"/>
          <w:sz w:val="28"/>
          <w:szCs w:val="28"/>
        </w:rPr>
      </w:pPr>
      <w:r>
        <w:rPr>
          <w:color w:val="000000"/>
          <w:sz w:val="28"/>
          <w:szCs w:val="28"/>
        </w:rPr>
        <w:tab/>
      </w:r>
      <w:r w:rsidR="002136C2" w:rsidRPr="00944CD2">
        <w:rPr>
          <w:color w:val="000000"/>
          <w:sz w:val="28"/>
          <w:szCs w:val="28"/>
        </w:rPr>
        <w:t>другие субъекты бюджетного планирования, главные администраторы доходов  бюджета</w:t>
      </w:r>
      <w:r w:rsidRPr="00944CD2">
        <w:rPr>
          <w:color w:val="000000"/>
          <w:sz w:val="28"/>
          <w:szCs w:val="28"/>
        </w:rPr>
        <w:t xml:space="preserve"> муниципального образования</w:t>
      </w:r>
      <w:r w:rsidR="002136C2" w:rsidRPr="00944CD2">
        <w:rPr>
          <w:color w:val="000000"/>
          <w:sz w:val="28"/>
          <w:szCs w:val="28"/>
        </w:rPr>
        <w:t xml:space="preserve">, главные распорядители средств  бюджета </w:t>
      </w:r>
      <w:r w:rsidRPr="00944CD2">
        <w:rPr>
          <w:color w:val="000000"/>
          <w:sz w:val="28"/>
          <w:szCs w:val="28"/>
        </w:rPr>
        <w:t xml:space="preserve">муниципального образования </w:t>
      </w:r>
      <w:r w:rsidR="002136C2" w:rsidRPr="00944CD2">
        <w:rPr>
          <w:color w:val="000000"/>
          <w:sz w:val="28"/>
          <w:szCs w:val="28"/>
        </w:rPr>
        <w:t>и иные участники бюджетного процесса (выборочно);</w:t>
      </w:r>
    </w:p>
    <w:p w:rsidR="002136C2" w:rsidRDefault="002136C2" w:rsidP="00E10508">
      <w:pPr>
        <w:spacing w:after="0" w:line="240" w:lineRule="auto"/>
        <w:ind w:left="-360" w:firstLine="360"/>
        <w:jc w:val="both"/>
        <w:outlineLvl w:val="0"/>
        <w:rPr>
          <w:rFonts w:ascii="Times New Roman" w:hAnsi="Times New Roman"/>
          <w:sz w:val="28"/>
          <w:szCs w:val="28"/>
        </w:rPr>
      </w:pPr>
    </w:p>
    <w:p w:rsidR="00E10508" w:rsidRDefault="00E10508" w:rsidP="00E10508">
      <w:pPr>
        <w:spacing w:after="0" w:line="240" w:lineRule="auto"/>
        <w:ind w:left="-360" w:firstLine="360"/>
        <w:jc w:val="both"/>
        <w:outlineLvl w:val="0"/>
        <w:rPr>
          <w:rFonts w:ascii="Times New Roman" w:hAnsi="Times New Roman"/>
          <w:sz w:val="28"/>
          <w:szCs w:val="28"/>
        </w:rPr>
      </w:pPr>
      <w:r>
        <w:rPr>
          <w:rFonts w:ascii="Times New Roman" w:hAnsi="Times New Roman"/>
          <w:b/>
          <w:sz w:val="28"/>
          <w:szCs w:val="28"/>
        </w:rPr>
        <w:t>Предмет экспертизы:</w:t>
      </w:r>
      <w:r>
        <w:rPr>
          <w:rFonts w:ascii="Times New Roman" w:hAnsi="Times New Roman"/>
          <w:sz w:val="28"/>
          <w:szCs w:val="28"/>
        </w:rPr>
        <w:t xml:space="preserve">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проект  бюджета муниципального  образования, внесенный в представительные</w:t>
      </w:r>
      <w:r w:rsidR="00051D1F">
        <w:rPr>
          <w:rFonts w:ascii="Times New Roman" w:hAnsi="Times New Roman"/>
          <w:sz w:val="28"/>
          <w:szCs w:val="28"/>
        </w:rPr>
        <w:t xml:space="preserve"> орган  в форме проекта решения.</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b/>
          <w:sz w:val="28"/>
          <w:szCs w:val="28"/>
        </w:rPr>
      </w:pPr>
      <w:r>
        <w:rPr>
          <w:rFonts w:ascii="Times New Roman" w:hAnsi="Times New Roman"/>
          <w:b/>
          <w:sz w:val="28"/>
          <w:szCs w:val="28"/>
        </w:rPr>
        <w:t>Основание проведения экспертизы:</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Бюджетный кодекс Российской Федерации (ст. 157);</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Федеральный закон № 131-ФЗ (ст. 38, ст. 52);</w:t>
      </w:r>
    </w:p>
    <w:p w:rsidR="00E10508" w:rsidRDefault="00051D1F"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Положени</w:t>
      </w:r>
      <w:r w:rsidR="00944CD2">
        <w:rPr>
          <w:rFonts w:ascii="Times New Roman" w:hAnsi="Times New Roman"/>
          <w:sz w:val="28"/>
          <w:szCs w:val="28"/>
        </w:rPr>
        <w:t>е</w:t>
      </w:r>
      <w:r w:rsidR="00E10508">
        <w:rPr>
          <w:rFonts w:ascii="Times New Roman" w:hAnsi="Times New Roman"/>
          <w:sz w:val="28"/>
          <w:szCs w:val="28"/>
        </w:rPr>
        <w:t xml:space="preserve"> о бюджетном процессе   муниципальн</w:t>
      </w:r>
      <w:r w:rsidR="00944CD2">
        <w:rPr>
          <w:rFonts w:ascii="Times New Roman" w:hAnsi="Times New Roman"/>
          <w:sz w:val="28"/>
          <w:szCs w:val="28"/>
        </w:rPr>
        <w:t xml:space="preserve">ого </w:t>
      </w:r>
      <w:r w:rsidR="00E10508">
        <w:rPr>
          <w:rFonts w:ascii="Times New Roman" w:hAnsi="Times New Roman"/>
          <w:sz w:val="28"/>
          <w:szCs w:val="28"/>
        </w:rPr>
        <w:t xml:space="preserve"> образования;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Положен</w:t>
      </w:r>
      <w:r w:rsidR="007D7FE4">
        <w:rPr>
          <w:rFonts w:ascii="Times New Roman" w:hAnsi="Times New Roman"/>
          <w:sz w:val="28"/>
          <w:szCs w:val="28"/>
        </w:rPr>
        <w:t>ие о контрольно-счетном</w:t>
      </w:r>
      <w:r>
        <w:rPr>
          <w:rFonts w:ascii="Times New Roman" w:hAnsi="Times New Roman"/>
          <w:sz w:val="28"/>
          <w:szCs w:val="28"/>
        </w:rPr>
        <w:t xml:space="preserve"> </w:t>
      </w:r>
      <w:r w:rsidR="007D7FE4">
        <w:rPr>
          <w:rFonts w:ascii="Times New Roman" w:hAnsi="Times New Roman"/>
          <w:sz w:val="28"/>
          <w:szCs w:val="28"/>
        </w:rPr>
        <w:t>органе</w:t>
      </w:r>
      <w:r>
        <w:rPr>
          <w:rFonts w:ascii="Times New Roman" w:hAnsi="Times New Roman"/>
          <w:sz w:val="28"/>
          <w:szCs w:val="28"/>
        </w:rPr>
        <w:t xml:space="preserve"> Белозерского муни</w:t>
      </w:r>
      <w:r w:rsidR="00051D1F">
        <w:rPr>
          <w:rFonts w:ascii="Times New Roman" w:hAnsi="Times New Roman"/>
          <w:sz w:val="28"/>
          <w:szCs w:val="28"/>
        </w:rPr>
        <w:t>ципального района, утвержденное</w:t>
      </w:r>
      <w:r>
        <w:rPr>
          <w:rFonts w:ascii="Times New Roman" w:hAnsi="Times New Roman"/>
          <w:sz w:val="28"/>
          <w:szCs w:val="28"/>
        </w:rPr>
        <w:t xml:space="preserve"> решением Представительного Собрания Белозерс</w:t>
      </w:r>
      <w:r w:rsidR="007D7FE4">
        <w:rPr>
          <w:rFonts w:ascii="Times New Roman" w:hAnsi="Times New Roman"/>
          <w:sz w:val="28"/>
          <w:szCs w:val="28"/>
        </w:rPr>
        <w:t>кого муниципального района от 26.05.2020  № 33</w:t>
      </w:r>
      <w:r>
        <w:rPr>
          <w:rFonts w:ascii="Times New Roman" w:hAnsi="Times New Roman"/>
          <w:sz w:val="28"/>
          <w:szCs w:val="28"/>
        </w:rPr>
        <w:t xml:space="preserve"> .</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outlineLvl w:val="0"/>
        <w:rPr>
          <w:rFonts w:ascii="Times New Roman" w:hAnsi="Times New Roman"/>
          <w:b/>
          <w:sz w:val="28"/>
          <w:szCs w:val="28"/>
        </w:rPr>
      </w:pPr>
      <w:r>
        <w:rPr>
          <w:rFonts w:ascii="Times New Roman" w:hAnsi="Times New Roman"/>
          <w:b/>
          <w:sz w:val="28"/>
          <w:szCs w:val="28"/>
        </w:rPr>
        <w:t>Цель экспертизы:</w:t>
      </w:r>
    </w:p>
    <w:p w:rsidR="002136C2" w:rsidRPr="00944CD2" w:rsidRDefault="002136C2" w:rsidP="00E10508">
      <w:pPr>
        <w:spacing w:after="0" w:line="240" w:lineRule="auto"/>
        <w:ind w:left="-360" w:firstLine="360"/>
        <w:jc w:val="both"/>
        <w:outlineLvl w:val="0"/>
        <w:rPr>
          <w:rFonts w:ascii="Times New Roman" w:hAnsi="Times New Roman"/>
          <w:b/>
          <w:sz w:val="28"/>
          <w:szCs w:val="28"/>
        </w:rPr>
      </w:pPr>
      <w:r w:rsidRPr="00944CD2">
        <w:rPr>
          <w:rFonts w:ascii="Times New Roman" w:hAnsi="Times New Roman"/>
          <w:color w:val="000000"/>
          <w:sz w:val="28"/>
          <w:szCs w:val="28"/>
        </w:rPr>
        <w:t xml:space="preserve">Целью предварительного контроля формирования проекта  бюджета </w:t>
      </w:r>
      <w:r w:rsidR="00944CD2" w:rsidRPr="00944CD2">
        <w:rPr>
          <w:rFonts w:ascii="Times New Roman" w:hAnsi="Times New Roman"/>
          <w:color w:val="000000"/>
          <w:sz w:val="28"/>
          <w:szCs w:val="28"/>
        </w:rPr>
        <w:t xml:space="preserve">муниципального образования, </w:t>
      </w:r>
      <w:r w:rsidRPr="00944CD2">
        <w:rPr>
          <w:rFonts w:ascii="Times New Roman" w:hAnsi="Times New Roman"/>
          <w:color w:val="000000"/>
          <w:sz w:val="28"/>
          <w:szCs w:val="28"/>
        </w:rPr>
        <w:t xml:space="preserve">на очередной финансовый год и на плановый период является определение достоверности и обоснованности показателей формирования проекта </w:t>
      </w:r>
      <w:r w:rsidR="00944CD2" w:rsidRPr="00944CD2">
        <w:rPr>
          <w:rFonts w:ascii="Times New Roman" w:hAnsi="Times New Roman"/>
          <w:color w:val="000000"/>
          <w:sz w:val="28"/>
          <w:szCs w:val="28"/>
        </w:rPr>
        <w:t xml:space="preserve">решения о бюджете муниципального образования </w:t>
      </w:r>
      <w:r w:rsidRPr="00944CD2">
        <w:rPr>
          <w:rFonts w:ascii="Times New Roman" w:hAnsi="Times New Roman"/>
          <w:color w:val="000000"/>
          <w:sz w:val="28"/>
          <w:szCs w:val="28"/>
        </w:rPr>
        <w:t xml:space="preserve"> на очередной финансовый год и на плановый период.</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outlineLvl w:val="0"/>
        <w:rPr>
          <w:rFonts w:ascii="Times New Roman" w:hAnsi="Times New Roman"/>
          <w:b/>
          <w:sz w:val="28"/>
          <w:szCs w:val="28"/>
        </w:rPr>
      </w:pPr>
      <w:r>
        <w:rPr>
          <w:rFonts w:ascii="Times New Roman" w:hAnsi="Times New Roman"/>
          <w:b/>
          <w:sz w:val="28"/>
          <w:szCs w:val="28"/>
        </w:rPr>
        <w:t>Задачи экспертизы:</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соответствия структуры проекта решения о бюджете требованиям бюджетного законодательства РФ. Экспертиза текстовой части проекта решения на соответствие нормам бюджетного законодательства РФ (ст. 2 БК РФ).</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соответствия внесенного проекта решения о бюджете сведениям и документам, на которых основывается составление бюджета (ст. 172,173 БК РФ)</w:t>
      </w:r>
      <w:r w:rsidR="006D4392">
        <w:rPr>
          <w:rFonts w:ascii="Times New Roman" w:hAnsi="Times New Roman"/>
          <w:sz w:val="28"/>
          <w:szCs w:val="28"/>
        </w:rPr>
        <w:t>.</w:t>
      </w:r>
      <w:r>
        <w:rPr>
          <w:rFonts w:ascii="Times New Roman" w:hAnsi="Times New Roman"/>
          <w:sz w:val="28"/>
          <w:szCs w:val="28"/>
        </w:rPr>
        <w:t xml:space="preserve"> </w:t>
      </w:r>
      <w:r w:rsidR="006D4392">
        <w:rPr>
          <w:rFonts w:ascii="Times New Roman" w:hAnsi="Times New Roman"/>
          <w:sz w:val="28"/>
          <w:szCs w:val="28"/>
        </w:rPr>
        <w:t xml:space="preserve"> </w:t>
      </w:r>
    </w:p>
    <w:p w:rsidR="00E10508" w:rsidRDefault="00E10508" w:rsidP="00E10508">
      <w:pPr>
        <w:widowControl w:val="0"/>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правильности применения бюджетной классификации РФ при составлении проекта решения о бюджете (ст. 18-21,23 БК РФ).</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lastRenderedPageBreak/>
        <w:t xml:space="preserve">Оценка </w:t>
      </w:r>
      <w:proofErr w:type="gramStart"/>
      <w:r>
        <w:rPr>
          <w:rFonts w:ascii="Times New Roman" w:hAnsi="Times New Roman"/>
          <w:sz w:val="28"/>
          <w:szCs w:val="28"/>
        </w:rPr>
        <w:t>непротиворечивости содержания отдельных фрагментов текста проекта решения</w:t>
      </w:r>
      <w:proofErr w:type="gramEnd"/>
      <w:r>
        <w:rPr>
          <w:rFonts w:ascii="Times New Roman" w:hAnsi="Times New Roman"/>
          <w:sz w:val="28"/>
          <w:szCs w:val="28"/>
        </w:rPr>
        <w:t xml:space="preserve"> о бюджете, а также приложений к нему текстовой части проекта решения (оценка внутренней непротиворечивости документа).</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соответствия структуры и методов расчета предлагаемых бюджетных показателей утвержденной методике составления проекта бюджета (в случае, если применение методики предусмотрено нормативными правовыми актами, регулирующими бюджетные правоотношения на соответствующем уровне).</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достоверности, законности и полноты отражения доходов в доходной части бюджета (ст. 32, 62-64 БК РФ), в том числе оценка достоверности, законности и полноты отражения доходов, поступающих в порядке межбюджетных  отношений  (ст. 135-140,142 БК РФ).</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правомерности установления расходных обязательств на очередной финансовый год</w:t>
      </w:r>
      <w:r w:rsidR="006D4392">
        <w:rPr>
          <w:rFonts w:ascii="Times New Roman" w:hAnsi="Times New Roman"/>
          <w:sz w:val="28"/>
          <w:szCs w:val="28"/>
        </w:rPr>
        <w:t xml:space="preserve"> и плановом периоде</w:t>
      </w:r>
      <w:r>
        <w:rPr>
          <w:rFonts w:ascii="Times New Roman" w:hAnsi="Times New Roman"/>
          <w:sz w:val="28"/>
          <w:szCs w:val="28"/>
        </w:rPr>
        <w:t>, в частности, соблюдения законодательно установленного разграничения компетенции между уровнями государственной власти и местного самоуправления (ст. 65, 85, 86, БК РФ, ст. 14-18 ФЗ № 131-ФЗ), принятия расходных обязательств в надлежащей форме, надлежащими органами и должностными лицами, в оптимальном объеме.</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достаточности запланированных ассигнований для исполнения установленных расходных обязательств муниципального образования.</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Оценка правильности отражения в проекте решения о бюджете отсутствия возможности финансировать отдельные расходные обязательства (статья 83 БК РФ).</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Оценка соответствия показателей программной части бюджета показателям принятых ранее муниципальных целевых программ, включая долгосрочные и ведомственные целевые программы муниципального уровня, финансирование которых предусмотрено проектом решения о бюджете в очередном финансовом году.</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Оценка сбалансированности бюджета, анализ источников финансирования дефицита бюджета (ст. 33, 92, 96 БК РФ).</w:t>
      </w:r>
    </w:p>
    <w:p w:rsidR="00E10508" w:rsidRDefault="00E10508" w:rsidP="00E10508">
      <w:pPr>
        <w:numPr>
          <w:ilvl w:val="0"/>
          <w:numId w:val="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Оценка планирования управления муниципальным долгом (ст.100, 101, 102, 104, 107, 110-115, 117, 119). </w:t>
      </w:r>
    </w:p>
    <w:p w:rsidR="00E10508" w:rsidRDefault="00E10508" w:rsidP="00E10508">
      <w:pPr>
        <w:spacing w:after="0" w:line="240" w:lineRule="auto"/>
        <w:ind w:left="-360" w:firstLine="360"/>
        <w:jc w:val="both"/>
        <w:rPr>
          <w:rFonts w:ascii="Times New Roman" w:hAnsi="Times New Roman"/>
          <w:sz w:val="28"/>
          <w:szCs w:val="28"/>
        </w:rPr>
      </w:pPr>
    </w:p>
    <w:p w:rsidR="00E10508" w:rsidRDefault="001E72E4" w:rsidP="009A3790">
      <w:pPr>
        <w:spacing w:after="0" w:line="240" w:lineRule="auto"/>
        <w:ind w:left="-360" w:firstLine="360"/>
        <w:jc w:val="center"/>
        <w:outlineLvl w:val="0"/>
        <w:rPr>
          <w:rFonts w:ascii="Times New Roman" w:hAnsi="Times New Roman"/>
          <w:sz w:val="28"/>
          <w:szCs w:val="28"/>
        </w:rPr>
      </w:pPr>
      <w:r>
        <w:rPr>
          <w:rFonts w:ascii="Times New Roman" w:hAnsi="Times New Roman"/>
          <w:b/>
          <w:sz w:val="28"/>
          <w:szCs w:val="28"/>
        </w:rPr>
        <w:t>2</w:t>
      </w:r>
      <w:r w:rsidR="00E10508">
        <w:rPr>
          <w:rFonts w:ascii="Times New Roman" w:hAnsi="Times New Roman"/>
          <w:b/>
          <w:sz w:val="28"/>
          <w:szCs w:val="28"/>
        </w:rPr>
        <w:t>. Этап</w:t>
      </w:r>
      <w:r w:rsidR="00051D1F">
        <w:rPr>
          <w:rFonts w:ascii="Times New Roman" w:hAnsi="Times New Roman"/>
          <w:b/>
          <w:sz w:val="28"/>
          <w:szCs w:val="28"/>
        </w:rPr>
        <w:t>ы</w:t>
      </w:r>
      <w:r w:rsidR="00E10508">
        <w:rPr>
          <w:rFonts w:ascii="Times New Roman" w:hAnsi="Times New Roman"/>
          <w:b/>
          <w:sz w:val="28"/>
          <w:szCs w:val="28"/>
        </w:rPr>
        <w:t xml:space="preserve">  экспертизы</w:t>
      </w:r>
    </w:p>
    <w:p w:rsidR="00E10508" w:rsidRDefault="00E10508" w:rsidP="00E10508">
      <w:pPr>
        <w:spacing w:after="0" w:line="240" w:lineRule="auto"/>
        <w:ind w:left="-360" w:firstLine="360"/>
        <w:jc w:val="center"/>
        <w:rPr>
          <w:rFonts w:ascii="Times New Roman" w:hAnsi="Times New Roman"/>
          <w:sz w:val="28"/>
          <w:szCs w:val="28"/>
          <w:u w:val="single"/>
        </w:rPr>
      </w:pPr>
    </w:p>
    <w:p w:rsidR="00E10508" w:rsidRDefault="00E10508" w:rsidP="00E10508">
      <w:pPr>
        <w:spacing w:after="0" w:line="240" w:lineRule="auto"/>
        <w:ind w:left="-360" w:firstLine="360"/>
        <w:jc w:val="both"/>
        <w:outlineLvl w:val="0"/>
        <w:rPr>
          <w:rFonts w:ascii="Times New Roman" w:hAnsi="Times New Roman"/>
          <w:sz w:val="28"/>
          <w:szCs w:val="28"/>
        </w:rPr>
      </w:pPr>
      <w:r>
        <w:rPr>
          <w:rFonts w:ascii="Times New Roman" w:hAnsi="Times New Roman"/>
          <w:sz w:val="28"/>
          <w:szCs w:val="28"/>
        </w:rPr>
        <w:t>2.1. Подготовительный этап.</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На данном этапе: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 изучаются действующие правовые акты, определяющие: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порядок формирования расходных обязательств муниципального образования (ст. 85, 86 БК РФ). При этом следует обратить внимание на то, что расходные обязательства учитываются в реестрах расходных обязательств (ст. 87 БК РФ), а также то, что возникать расходные обязательства могут на основании полномочий органов  местного самоуправления (ст. 14-18 ФЗ № 131-ФЗ);</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сроки, порядок и форму внесения законопроекта, требования к этому документу и к иным документам, вносимым вместе с ним (ст. 11 БК РФ);</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компетенцию контрольного органа, стоящие перед ним задачи, сроки проведения экспертизы, объем необходимой информации и т.д. (ст. 157 БК РФ);</w:t>
      </w:r>
    </w:p>
    <w:p w:rsidR="00051D1F" w:rsidRDefault="00E10508" w:rsidP="00051D1F">
      <w:pPr>
        <w:spacing w:after="0" w:line="240" w:lineRule="auto"/>
        <w:ind w:left="-360" w:firstLine="360"/>
        <w:jc w:val="both"/>
        <w:rPr>
          <w:rFonts w:ascii="Times New Roman" w:hAnsi="Times New Roman"/>
          <w:sz w:val="28"/>
          <w:szCs w:val="28"/>
        </w:rPr>
      </w:pPr>
      <w:r>
        <w:rPr>
          <w:rFonts w:ascii="Times New Roman" w:hAnsi="Times New Roman"/>
          <w:sz w:val="28"/>
          <w:szCs w:val="28"/>
        </w:rPr>
        <w:lastRenderedPageBreak/>
        <w:t>2) изучаются сведения, необходимые для составления проекта решения о бюджете, а также содержание документов, на которых основывается составле</w:t>
      </w:r>
      <w:r w:rsidR="00051D1F">
        <w:rPr>
          <w:rFonts w:ascii="Times New Roman" w:hAnsi="Times New Roman"/>
          <w:sz w:val="28"/>
          <w:szCs w:val="28"/>
        </w:rPr>
        <w:t>ние бюджета (ст. 172,173 БК РФ);</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3) анализируется ход исполнения бюджета текущего года, при этом обращается внимание на достаточность и полноту доходных поступлений, законность и эффективность использования расходной части бюджета. Параметры проекта бюджета сопоставляются с оперативной информацией о ходе исполнения бюджета текущего года, данными о социально-экономическом положении территории, отдельных отраслей экономики.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 проводится анализ результатов проведенных в течение года контрольных мероприятий с целью использования их при проведении экспертизы.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5) изучаются уже принятые решения:</w:t>
      </w:r>
    </w:p>
    <w:p w:rsidR="00E10508" w:rsidRDefault="00E10508" w:rsidP="00E10508">
      <w:pPr>
        <w:spacing w:after="0" w:line="240" w:lineRule="auto"/>
        <w:ind w:left="-360" w:firstLine="360"/>
        <w:jc w:val="both"/>
        <w:rPr>
          <w:rFonts w:ascii="Times New Roman" w:hAnsi="Times New Roman"/>
          <w:sz w:val="28"/>
          <w:szCs w:val="28"/>
        </w:rPr>
      </w:pPr>
      <w:proofErr w:type="gramStart"/>
      <w:r>
        <w:rPr>
          <w:rFonts w:ascii="Times New Roman" w:hAnsi="Times New Roman"/>
          <w:sz w:val="28"/>
          <w:szCs w:val="28"/>
        </w:rPr>
        <w:t>- влияющие на формирование доходной части (установление ставок налогов, предоставление налоговых льгот);</w:t>
      </w:r>
      <w:proofErr w:type="gramEnd"/>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влияющие</w:t>
      </w:r>
      <w:proofErr w:type="gramEnd"/>
      <w:r>
        <w:rPr>
          <w:rFonts w:ascii="Times New Roman" w:hAnsi="Times New Roman"/>
          <w:sz w:val="28"/>
          <w:szCs w:val="28"/>
        </w:rPr>
        <w:t xml:space="preserve"> на расходную часть бюджета (установление льгот и преференций некоторым категориям граждан и др.);</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о  муниципальных целевых программах.</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ab/>
      </w:r>
    </w:p>
    <w:p w:rsidR="00E10508" w:rsidRDefault="00E10508" w:rsidP="00E10508">
      <w:pPr>
        <w:spacing w:after="0" w:line="240" w:lineRule="auto"/>
        <w:ind w:left="-360" w:firstLine="360"/>
        <w:jc w:val="both"/>
        <w:outlineLvl w:val="0"/>
        <w:rPr>
          <w:rFonts w:ascii="Times New Roman" w:hAnsi="Times New Roman"/>
          <w:sz w:val="28"/>
          <w:szCs w:val="28"/>
        </w:rPr>
      </w:pPr>
      <w:r>
        <w:rPr>
          <w:rFonts w:ascii="Times New Roman" w:hAnsi="Times New Roman"/>
          <w:sz w:val="28"/>
          <w:szCs w:val="28"/>
        </w:rPr>
        <w:t xml:space="preserve">2.2. Основной этап.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Основной этап начинается после внесения проекта решения о бюджете и проходит в сроки, определенные положением о бюджетном процессе </w:t>
      </w:r>
      <w:r w:rsidR="006D4392">
        <w:rPr>
          <w:rFonts w:ascii="Times New Roman" w:hAnsi="Times New Roman"/>
          <w:sz w:val="28"/>
          <w:szCs w:val="28"/>
        </w:rPr>
        <w:t xml:space="preserve">в </w:t>
      </w:r>
      <w:r>
        <w:rPr>
          <w:rFonts w:ascii="Times New Roman" w:hAnsi="Times New Roman"/>
          <w:sz w:val="28"/>
          <w:szCs w:val="28"/>
        </w:rPr>
        <w:t>муниципальном образовании.</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На данном этапе производится основная работа, описанная в разделе 3 «процесс экспертизы». </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outlineLvl w:val="0"/>
        <w:rPr>
          <w:rFonts w:ascii="Times New Roman" w:hAnsi="Times New Roman"/>
          <w:sz w:val="28"/>
          <w:szCs w:val="28"/>
        </w:rPr>
      </w:pPr>
      <w:r>
        <w:rPr>
          <w:rFonts w:ascii="Times New Roman" w:hAnsi="Times New Roman"/>
          <w:sz w:val="28"/>
          <w:szCs w:val="28"/>
        </w:rPr>
        <w:t xml:space="preserve">2.3. Заключительный этап.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На данном этапе: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 оформляется, подписывается и официально направляется в представительный орган заключение на проект решения о бюджете;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2) следует принять участие в заседаниях комитетов и комиссий с целью доведения выводов и замечаний, изложенных в заключени</w:t>
      </w:r>
      <w:proofErr w:type="gramStart"/>
      <w:r>
        <w:rPr>
          <w:rFonts w:ascii="Times New Roman" w:hAnsi="Times New Roman"/>
          <w:sz w:val="28"/>
          <w:szCs w:val="28"/>
        </w:rPr>
        <w:t>и</w:t>
      </w:r>
      <w:proofErr w:type="gramEnd"/>
      <w:r>
        <w:rPr>
          <w:rFonts w:ascii="Times New Roman" w:hAnsi="Times New Roman"/>
          <w:sz w:val="28"/>
          <w:szCs w:val="28"/>
        </w:rPr>
        <w:t>, до сведения депутатов;</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3) рекомендуется разъяснить депутатам важность принятия бюджета до начала финансового года, чтобы не было необходимости применять статьи 190 и 191 Бюджетного кодекса Российской Федерации, регулирующие порядок временного управления бюджетом.</w:t>
      </w:r>
    </w:p>
    <w:p w:rsidR="00E10508" w:rsidRDefault="00E10508" w:rsidP="00E10508">
      <w:pPr>
        <w:spacing w:after="0" w:line="240" w:lineRule="auto"/>
        <w:ind w:left="-360" w:firstLine="360"/>
        <w:rPr>
          <w:rFonts w:ascii="Times New Roman" w:hAnsi="Times New Roman"/>
          <w:sz w:val="28"/>
          <w:szCs w:val="28"/>
        </w:rPr>
      </w:pPr>
    </w:p>
    <w:p w:rsidR="00E10508" w:rsidRDefault="00381CDD" w:rsidP="00646B8C">
      <w:pPr>
        <w:spacing w:after="0" w:line="240" w:lineRule="auto"/>
        <w:ind w:left="-360" w:firstLine="360"/>
        <w:jc w:val="center"/>
        <w:outlineLvl w:val="0"/>
        <w:rPr>
          <w:rFonts w:ascii="Times New Roman" w:hAnsi="Times New Roman"/>
          <w:sz w:val="28"/>
          <w:szCs w:val="28"/>
        </w:rPr>
      </w:pPr>
      <w:r>
        <w:rPr>
          <w:rFonts w:ascii="Times New Roman" w:hAnsi="Times New Roman"/>
          <w:b/>
          <w:sz w:val="28"/>
          <w:szCs w:val="28"/>
        </w:rPr>
        <w:t>3</w:t>
      </w:r>
      <w:r w:rsidR="00E10508">
        <w:rPr>
          <w:rFonts w:ascii="Times New Roman" w:hAnsi="Times New Roman"/>
          <w:b/>
          <w:sz w:val="28"/>
          <w:szCs w:val="28"/>
        </w:rPr>
        <w:t>. Процесс экспертизы</w:t>
      </w:r>
    </w:p>
    <w:p w:rsidR="00E10508" w:rsidRDefault="00E10508" w:rsidP="00E10508">
      <w:pPr>
        <w:spacing w:after="0" w:line="240" w:lineRule="auto"/>
        <w:ind w:left="-360" w:firstLine="360"/>
        <w:jc w:val="center"/>
        <w:outlineLvl w:val="0"/>
        <w:rPr>
          <w:rFonts w:ascii="Times New Roman" w:hAnsi="Times New Roman"/>
          <w:sz w:val="28"/>
          <w:szCs w:val="28"/>
          <w:u w:val="single"/>
        </w:rPr>
      </w:pPr>
    </w:p>
    <w:p w:rsidR="00E10508" w:rsidRDefault="00381CDD"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w:t>
      </w:r>
      <w:r w:rsidR="00E10508">
        <w:rPr>
          <w:rFonts w:ascii="Times New Roman" w:hAnsi="Times New Roman"/>
          <w:sz w:val="28"/>
          <w:szCs w:val="28"/>
        </w:rPr>
        <w:t xml:space="preserve">Перечень главных распорядителей бюджетных средств (с указанием их кодов) должен быть установлен нормативным правовым актом исполнительного органа местного самоуправления до внесения проекта решения о бюджете. </w:t>
      </w:r>
      <w:proofErr w:type="gramStart"/>
      <w:r w:rsidR="00E10508">
        <w:rPr>
          <w:rFonts w:ascii="Times New Roman" w:hAnsi="Times New Roman"/>
          <w:sz w:val="28"/>
          <w:szCs w:val="28"/>
        </w:rPr>
        <w:t>Данный вывод вытекает из сопоставления положений статьи 172 БК РФ, согласно которой составление бюджета основывается на плане развития муниципального сектора экономики</w:t>
      </w:r>
      <w:r>
        <w:rPr>
          <w:rFonts w:ascii="Times New Roman" w:hAnsi="Times New Roman"/>
          <w:sz w:val="28"/>
          <w:szCs w:val="28"/>
        </w:rPr>
        <w:t xml:space="preserve"> </w:t>
      </w:r>
      <w:r w:rsidR="00E10508">
        <w:rPr>
          <w:rFonts w:ascii="Times New Roman" w:hAnsi="Times New Roman"/>
          <w:sz w:val="28"/>
          <w:szCs w:val="28"/>
        </w:rPr>
        <w:t xml:space="preserve"> и статьи 178 БК РФ, устанавливающей, что упомянутый план включает </w:t>
      </w:r>
      <w:r w:rsidR="00E10508">
        <w:rPr>
          <w:rFonts w:ascii="Times New Roman" w:hAnsi="Times New Roman"/>
          <w:sz w:val="28"/>
          <w:szCs w:val="28"/>
        </w:rPr>
        <w:lastRenderedPageBreak/>
        <w:t xml:space="preserve">представленные в своде по главным распорядителям бюджетных средств сведения о предельной штатной численности муниципальных служащих, а также об объемах муниципальных услуг, оказываемых бюджетными учреждениями. </w:t>
      </w:r>
      <w:proofErr w:type="gramEnd"/>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При оценке правильности ведомственной структуры расходов бюджета необходимо удостовериться в том, что статус участников бюджетного процесса, включенных в перечень главных распорядителей средств бюджета муниципального образования, соответствует требованиям статьи 158 БК РФ.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Статус органа местного самоуправления, его полномочия и компетенция устанавливается в Уставе муниципального образования, а также в соответствующих решениях муниципального образования. Для реализации своих полномочий в бюджетной сфере данный участник бюджетного процесса должен обладать правами главного распорядителя.</w:t>
      </w:r>
    </w:p>
    <w:p w:rsidR="00381CDD" w:rsidRDefault="00381CDD" w:rsidP="00381CDD">
      <w:pPr>
        <w:spacing w:after="0" w:line="240" w:lineRule="auto"/>
        <w:jc w:val="both"/>
        <w:rPr>
          <w:rFonts w:ascii="Times New Roman" w:hAnsi="Times New Roman"/>
          <w:sz w:val="28"/>
          <w:szCs w:val="28"/>
        </w:rPr>
      </w:pPr>
      <w:r>
        <w:rPr>
          <w:rFonts w:ascii="Times New Roman" w:hAnsi="Times New Roman"/>
          <w:sz w:val="28"/>
          <w:szCs w:val="28"/>
        </w:rPr>
        <w:t xml:space="preserve">2. </w:t>
      </w:r>
      <w:r w:rsidR="00E10508">
        <w:rPr>
          <w:rFonts w:ascii="Times New Roman" w:hAnsi="Times New Roman"/>
          <w:sz w:val="28"/>
          <w:szCs w:val="28"/>
        </w:rPr>
        <w:t>Оценка соответствия внесенного проект</w:t>
      </w:r>
      <w:r>
        <w:rPr>
          <w:rFonts w:ascii="Times New Roman" w:hAnsi="Times New Roman"/>
          <w:sz w:val="28"/>
          <w:szCs w:val="28"/>
        </w:rPr>
        <w:t>а решения о бюджете сведениям и</w:t>
      </w:r>
    </w:p>
    <w:p w:rsidR="00E10508" w:rsidRDefault="00E10508" w:rsidP="00381CDD">
      <w:pPr>
        <w:spacing w:after="0" w:line="240" w:lineRule="auto"/>
        <w:jc w:val="both"/>
        <w:rPr>
          <w:rFonts w:ascii="Times New Roman" w:hAnsi="Times New Roman"/>
          <w:sz w:val="28"/>
          <w:szCs w:val="28"/>
        </w:rPr>
      </w:pPr>
      <w:r>
        <w:rPr>
          <w:rFonts w:ascii="Times New Roman" w:hAnsi="Times New Roman"/>
          <w:sz w:val="28"/>
          <w:szCs w:val="28"/>
        </w:rPr>
        <w:t>документам, на которых основывается составление бюджета (ст. 172,173 БК РФ) и которые должны представляться представительному органу одновременно с проектом решения о бюджете.</w:t>
      </w:r>
    </w:p>
    <w:p w:rsidR="00E10508" w:rsidRDefault="00E10508" w:rsidP="00E10508">
      <w:pPr>
        <w:spacing w:after="0" w:line="240" w:lineRule="auto"/>
        <w:ind w:left="-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К сведениям, используемым при составлении проектов бюджетов, БК РФ отнесена информация о:</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действующем на момент начала разработки проекта бюд</w:t>
      </w:r>
      <w:r w:rsidR="00381CDD">
        <w:rPr>
          <w:rFonts w:ascii="Times New Roman" w:hAnsi="Times New Roman"/>
          <w:sz w:val="28"/>
          <w:szCs w:val="28"/>
        </w:rPr>
        <w:t xml:space="preserve">жета налоговом </w:t>
      </w:r>
      <w:proofErr w:type="gramStart"/>
      <w:r w:rsidR="00381CDD">
        <w:rPr>
          <w:rFonts w:ascii="Times New Roman" w:hAnsi="Times New Roman"/>
          <w:sz w:val="28"/>
          <w:szCs w:val="28"/>
        </w:rPr>
        <w:t>законодательстве</w:t>
      </w:r>
      <w:proofErr w:type="gramEnd"/>
      <w:r w:rsidR="00381CDD">
        <w:rPr>
          <w:rFonts w:ascii="Times New Roman" w:hAnsi="Times New Roman"/>
          <w:sz w:val="28"/>
          <w:szCs w:val="28"/>
        </w:rPr>
        <w:t>;</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предполагаемых </w:t>
      </w:r>
      <w:proofErr w:type="gramStart"/>
      <w:r>
        <w:rPr>
          <w:rFonts w:ascii="Times New Roman" w:hAnsi="Times New Roman"/>
          <w:sz w:val="28"/>
          <w:szCs w:val="28"/>
        </w:rPr>
        <w:t>объемах</w:t>
      </w:r>
      <w:proofErr w:type="gramEnd"/>
      <w:r>
        <w:rPr>
          <w:rFonts w:ascii="Times New Roman" w:hAnsi="Times New Roman"/>
          <w:sz w:val="28"/>
          <w:szCs w:val="28"/>
        </w:rPr>
        <w:t xml:space="preserve"> финансовой помощи, предоставляемой из бюджетов других уровней бю</w:t>
      </w:r>
      <w:r w:rsidR="00381CDD">
        <w:rPr>
          <w:rFonts w:ascii="Times New Roman" w:hAnsi="Times New Roman"/>
          <w:sz w:val="28"/>
          <w:szCs w:val="28"/>
        </w:rPr>
        <w:t>джетной системы РФ;</w:t>
      </w:r>
    </w:p>
    <w:p w:rsidR="00E10508" w:rsidRDefault="00381CDD" w:rsidP="00E10508">
      <w:pPr>
        <w:spacing w:after="0" w:line="240" w:lineRule="auto"/>
        <w:ind w:left="-360" w:firstLine="360"/>
        <w:jc w:val="both"/>
        <w:rPr>
          <w:rFonts w:ascii="Times New Roman" w:hAnsi="Times New Roman"/>
          <w:sz w:val="28"/>
          <w:szCs w:val="28"/>
        </w:rPr>
      </w:pPr>
      <w:proofErr w:type="gramStart"/>
      <w:r>
        <w:rPr>
          <w:rFonts w:ascii="Times New Roman" w:hAnsi="Times New Roman"/>
          <w:sz w:val="28"/>
          <w:szCs w:val="28"/>
        </w:rPr>
        <w:t>- соответствии</w:t>
      </w:r>
      <w:r w:rsidR="00E10508">
        <w:rPr>
          <w:rFonts w:ascii="Times New Roman" w:hAnsi="Times New Roman"/>
          <w:sz w:val="28"/>
          <w:szCs w:val="28"/>
        </w:rPr>
        <w:t xml:space="preserve"> проекта решения о бюджете положениям Бюджетного послания Президента Российской Федерации, прогноза социально-экономического развития на очередной финансовый год, основных направлениях бюджетной и налоговой политике на очередной финансовый год.</w:t>
      </w:r>
      <w:proofErr w:type="gramEnd"/>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3"/>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Экспертиза текстовой части проекта решения на соответствие нормам бюджетного законодательства Российской Федерации</w:t>
      </w:r>
    </w:p>
    <w:p w:rsidR="00E10508" w:rsidRDefault="00E10508" w:rsidP="00E10508">
      <w:pPr>
        <w:spacing w:after="0" w:line="240" w:lineRule="auto"/>
        <w:ind w:left="-360"/>
        <w:jc w:val="both"/>
        <w:rPr>
          <w:rFonts w:ascii="Times New Roman" w:hAnsi="Times New Roman"/>
          <w:sz w:val="28"/>
          <w:szCs w:val="28"/>
        </w:rPr>
      </w:pP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Решение о бюджете – нормативный правовой акт, регулирующий бюджетные правоотношения. В тексте решения о бюджете устанавливаются основные характеристики бюджета, назначения по доходам в разрезе источников, формы и объем расходов на финансирование полномочий органов местного самоуправления, установленных в Федеральном законе № 131-ФЗ (ст. 14-18). </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В ходе экспертизы текста проекта решения о бюджете необходимо учитывать принцип приоритета БК РФ над нормативными правовыми актами органов государственной власти субъектов РФ и органов местного самоуправления. </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widowControl w:val="0"/>
        <w:numPr>
          <w:ilvl w:val="0"/>
          <w:numId w:val="4"/>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правильности применения бюджетной классификации РФ при состав</w:t>
      </w:r>
      <w:r w:rsidR="00381CDD">
        <w:rPr>
          <w:rFonts w:ascii="Times New Roman" w:hAnsi="Times New Roman"/>
          <w:sz w:val="28"/>
          <w:szCs w:val="28"/>
        </w:rPr>
        <w:t>лении проекта решения о бюджете</w:t>
      </w:r>
      <w:r>
        <w:rPr>
          <w:rFonts w:ascii="Times New Roman" w:hAnsi="Times New Roman"/>
          <w:sz w:val="28"/>
          <w:szCs w:val="28"/>
        </w:rPr>
        <w:t xml:space="preserve"> </w:t>
      </w:r>
    </w:p>
    <w:p w:rsidR="00E10508" w:rsidRDefault="00E10508" w:rsidP="00E10508">
      <w:pPr>
        <w:spacing w:after="0" w:line="240" w:lineRule="auto"/>
        <w:ind w:left="-360" w:firstLine="360"/>
        <w:jc w:val="both"/>
        <w:rPr>
          <w:rFonts w:ascii="Times New Roman" w:hAnsi="Times New Roman"/>
          <w:sz w:val="28"/>
          <w:szCs w:val="28"/>
        </w:rPr>
      </w:pPr>
    </w:p>
    <w:p w:rsidR="00E10508" w:rsidRPr="006D4392" w:rsidRDefault="00E10508" w:rsidP="006D439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В ходе экспертизы проекта решения о бюджете необходимо удостовериться в правильном применении уполномоченным органом, ответственным за составление проекта, бюджетной классификации РФ. В соответствии с </w:t>
      </w:r>
      <w:hyperlink r:id="rId8" w:history="1">
        <w:r w:rsidR="006D4392">
          <w:rPr>
            <w:rFonts w:ascii="Times New Roman" w:eastAsiaTheme="minorHAnsi" w:hAnsi="Times New Roman"/>
            <w:sz w:val="28"/>
            <w:szCs w:val="28"/>
            <w:lang w:eastAsia="en-US"/>
          </w:rPr>
          <w:t>приказом</w:t>
        </w:r>
      </w:hyperlink>
      <w:r w:rsidR="006D4392">
        <w:rPr>
          <w:rFonts w:ascii="Times New Roman" w:eastAsiaTheme="minorHAnsi" w:hAnsi="Times New Roman"/>
          <w:sz w:val="28"/>
          <w:szCs w:val="28"/>
          <w:lang w:eastAsia="en-US"/>
        </w:rPr>
        <w:t xml:space="preserve">  </w:t>
      </w:r>
      <w:r w:rsidR="006D4392" w:rsidRPr="006D4392">
        <w:rPr>
          <w:rFonts w:ascii="Times New Roman" w:eastAsiaTheme="minorHAnsi" w:hAnsi="Times New Roman"/>
          <w:sz w:val="28"/>
          <w:szCs w:val="28"/>
          <w:lang w:eastAsia="en-US"/>
        </w:rPr>
        <w:t xml:space="preserve"> Мин</w:t>
      </w:r>
      <w:r w:rsidR="006D4392">
        <w:rPr>
          <w:rFonts w:ascii="Times New Roman" w:eastAsiaTheme="minorHAnsi" w:hAnsi="Times New Roman"/>
          <w:sz w:val="28"/>
          <w:szCs w:val="28"/>
          <w:lang w:eastAsia="en-US"/>
        </w:rPr>
        <w:t>фина России от 06.06.2019 N 85н «</w:t>
      </w:r>
      <w:r w:rsidR="006D4392" w:rsidRPr="006D4392">
        <w:rPr>
          <w:rFonts w:ascii="Times New Roman" w:eastAsiaTheme="minorHAnsi" w:hAnsi="Times New Roman"/>
          <w:sz w:val="28"/>
          <w:szCs w:val="28"/>
          <w:lang w:eastAsia="en-US"/>
        </w:rPr>
        <w:t>О Порядке формирования и применения кодов бюджетной классификации Российской Федерации, их с</w:t>
      </w:r>
      <w:r w:rsidR="006D4392">
        <w:rPr>
          <w:rFonts w:ascii="Times New Roman" w:eastAsiaTheme="minorHAnsi" w:hAnsi="Times New Roman"/>
          <w:sz w:val="28"/>
          <w:szCs w:val="28"/>
          <w:lang w:eastAsia="en-US"/>
        </w:rPr>
        <w:t xml:space="preserve">труктуре и принципах назначения» </w:t>
      </w:r>
      <w:r>
        <w:rPr>
          <w:rFonts w:ascii="Times New Roman" w:hAnsi="Times New Roman"/>
          <w:sz w:val="28"/>
          <w:szCs w:val="28"/>
        </w:rPr>
        <w:t>м</w:t>
      </w:r>
      <w:r w:rsidR="00381CDD">
        <w:rPr>
          <w:rFonts w:ascii="Times New Roman" w:hAnsi="Times New Roman"/>
          <w:sz w:val="28"/>
          <w:szCs w:val="28"/>
        </w:rPr>
        <w:t>униципальные образования вправе:</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5"/>
        </w:num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закреплять источники доходов соответствующего бюджета за администраторами поступлений в соответствующий бюджет</w:t>
      </w:r>
      <w:proofErr w:type="gramStart"/>
      <w:r w:rsidR="006D4392">
        <w:rPr>
          <w:rFonts w:ascii="Times New Roman" w:hAnsi="Times New Roman"/>
          <w:sz w:val="28"/>
          <w:szCs w:val="28"/>
        </w:rPr>
        <w:t xml:space="preserve"> </w:t>
      </w:r>
      <w:r>
        <w:rPr>
          <w:rFonts w:ascii="Times New Roman" w:hAnsi="Times New Roman"/>
          <w:sz w:val="28"/>
          <w:szCs w:val="28"/>
        </w:rPr>
        <w:t xml:space="preserve"> ;</w:t>
      </w:r>
      <w:proofErr w:type="gramEnd"/>
    </w:p>
    <w:p w:rsidR="00E10508" w:rsidRDefault="00E10508" w:rsidP="00E10508">
      <w:pPr>
        <w:numPr>
          <w:ilvl w:val="0"/>
          <w:numId w:val="5"/>
        </w:numPr>
        <w:autoSpaceDE w:val="0"/>
        <w:autoSpaceDN w:val="0"/>
        <w:adjustRightInd w:val="0"/>
        <w:spacing w:after="0" w:line="240" w:lineRule="auto"/>
        <w:ind w:left="-360" w:firstLine="360"/>
        <w:jc w:val="both"/>
        <w:rPr>
          <w:rFonts w:ascii="Times New Roman" w:hAnsi="Times New Roman"/>
          <w:sz w:val="28"/>
          <w:szCs w:val="28"/>
        </w:rPr>
      </w:pPr>
      <w:proofErr w:type="gramStart"/>
      <w:r>
        <w:rPr>
          <w:rFonts w:ascii="Times New Roman" w:hAnsi="Times New Roman"/>
          <w:sz w:val="28"/>
          <w:szCs w:val="28"/>
        </w:rPr>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возложен на органы власти другого уровня;</w:t>
      </w:r>
      <w:proofErr w:type="gramEnd"/>
    </w:p>
    <w:p w:rsidR="00E10508" w:rsidRDefault="00E10508" w:rsidP="00E10508">
      <w:pPr>
        <w:numPr>
          <w:ilvl w:val="0"/>
          <w:numId w:val="5"/>
        </w:num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принимать решения о дополнении перечней целевых статей и видов </w:t>
      </w:r>
      <w:proofErr w:type="gramStart"/>
      <w:r>
        <w:rPr>
          <w:rFonts w:ascii="Times New Roman" w:hAnsi="Times New Roman"/>
          <w:sz w:val="28"/>
          <w:szCs w:val="28"/>
        </w:rPr>
        <w:t>расходов функциональной классификации расходов бюджетов Российской Федерации</w:t>
      </w:r>
      <w:proofErr w:type="gramEnd"/>
      <w:r>
        <w:rPr>
          <w:rFonts w:ascii="Times New Roman" w:hAnsi="Times New Roman"/>
          <w:sz w:val="28"/>
          <w:szCs w:val="28"/>
        </w:rPr>
        <w:t>;</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proofErr w:type="gramStart"/>
      <w:r>
        <w:rPr>
          <w:rFonts w:ascii="Times New Roman" w:hAnsi="Times New Roman"/>
          <w:sz w:val="28"/>
          <w:szCs w:val="28"/>
        </w:rPr>
        <w:t>Согласно</w:t>
      </w:r>
      <w:proofErr w:type="gramEnd"/>
      <w:r>
        <w:rPr>
          <w:rFonts w:ascii="Times New Roman" w:hAnsi="Times New Roman"/>
          <w:sz w:val="28"/>
          <w:szCs w:val="28"/>
        </w:rPr>
        <w:t xml:space="preserve"> федерального законодательства решениями о соответствующем бюджете на очередной финансовый год утверждаются:</w:t>
      </w:r>
    </w:p>
    <w:p w:rsidR="00E10508" w:rsidRDefault="00E10508" w:rsidP="00E10508">
      <w:pPr>
        <w:numPr>
          <w:ilvl w:val="0"/>
          <w:numId w:val="6"/>
        </w:num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ведомственная структура расходов местных бюджетов, устанавливающая расходы соответствующих бюджетов по главным распорядителям средств, разделам, подразделам, целевым статьям и видам расходов функциональной классификации расходов;</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При этом органы местного самоуправления при формировании, утверждении и исполнении бюджетов субъектов Российской Федерации и местных бюджетов обеспечивают:</w:t>
      </w:r>
    </w:p>
    <w:p w:rsidR="00E10508" w:rsidRDefault="00E10508" w:rsidP="00E10508">
      <w:pPr>
        <w:numPr>
          <w:ilvl w:val="0"/>
          <w:numId w:val="7"/>
        </w:num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идентичность </w:t>
      </w:r>
      <w:proofErr w:type="gramStart"/>
      <w:r>
        <w:rPr>
          <w:rFonts w:ascii="Times New Roman" w:hAnsi="Times New Roman"/>
          <w:sz w:val="28"/>
          <w:szCs w:val="28"/>
        </w:rPr>
        <w:t>построения функциональной классификации расходов бюджетов Российской Федерации</w:t>
      </w:r>
      <w:proofErr w:type="gramEnd"/>
      <w:r>
        <w:rPr>
          <w:rFonts w:ascii="Times New Roman" w:hAnsi="Times New Roman"/>
          <w:sz w:val="28"/>
          <w:szCs w:val="28"/>
        </w:rPr>
        <w:t xml:space="preserve"> в части целевых статей и видов расходов;</w:t>
      </w:r>
    </w:p>
    <w:p w:rsidR="00E10508" w:rsidRDefault="00E10508" w:rsidP="00E10508">
      <w:pPr>
        <w:numPr>
          <w:ilvl w:val="0"/>
          <w:numId w:val="7"/>
        </w:num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бюджетов субъектов Российской Федерации и местных бюджетов;</w:t>
      </w:r>
    </w:p>
    <w:p w:rsidR="00E10508" w:rsidRDefault="00E10508" w:rsidP="00E10508">
      <w:pPr>
        <w:numPr>
          <w:ilvl w:val="0"/>
          <w:numId w:val="7"/>
        </w:num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преемственность </w:t>
      </w:r>
      <w:proofErr w:type="gramStart"/>
      <w:r>
        <w:rPr>
          <w:rFonts w:ascii="Times New Roman" w:hAnsi="Times New Roman"/>
          <w:sz w:val="28"/>
          <w:szCs w:val="28"/>
        </w:rPr>
        <w:t>кодов администраторов источников внутреннего финансирования дефицитов бюджетов</w:t>
      </w:r>
      <w:proofErr w:type="gramEnd"/>
      <w:r>
        <w:rPr>
          <w:rFonts w:ascii="Times New Roman" w:hAnsi="Times New Roman"/>
          <w:sz w:val="28"/>
          <w:szCs w:val="28"/>
        </w:rPr>
        <w:t xml:space="preserve"> по источникам внутреннего финансирования дефицитов бюджетов.</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Табличная часть проекта решения о бюджете исследуется на правильность применения кодов бюджетной классификации РФ, полноту детализации назначений по доходам, расходам бюджета, источникам финансирования дефицита бюджета.</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8"/>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Оценка </w:t>
      </w:r>
      <w:proofErr w:type="gramStart"/>
      <w:r>
        <w:rPr>
          <w:rFonts w:ascii="Times New Roman" w:hAnsi="Times New Roman"/>
          <w:sz w:val="28"/>
          <w:szCs w:val="28"/>
        </w:rPr>
        <w:t>непротиворечивости содержания отдельных фрагментов текста проекта решения</w:t>
      </w:r>
      <w:proofErr w:type="gramEnd"/>
      <w:r>
        <w:rPr>
          <w:rFonts w:ascii="Times New Roman" w:hAnsi="Times New Roman"/>
          <w:sz w:val="28"/>
          <w:szCs w:val="28"/>
        </w:rPr>
        <w:t xml:space="preserve"> о бюджете, а также приложений к нему (оценка внутренней непротиворечивости документа)</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lastRenderedPageBreak/>
        <w:t>При проверке текста проекта решения о бюджете и его табличной части на непротиворечивость отдельных фрагментов необходимо обратить внимание на следующее:</w:t>
      </w:r>
    </w:p>
    <w:p w:rsidR="00E10508" w:rsidRDefault="00E10508" w:rsidP="00E10508">
      <w:pPr>
        <w:spacing w:after="0" w:line="240" w:lineRule="auto"/>
        <w:ind w:left="-360"/>
        <w:jc w:val="both"/>
        <w:rPr>
          <w:rFonts w:ascii="Times New Roman" w:hAnsi="Times New Roman"/>
          <w:sz w:val="28"/>
          <w:szCs w:val="28"/>
        </w:rPr>
      </w:pPr>
      <w:r>
        <w:rPr>
          <w:rFonts w:ascii="Times New Roman" w:hAnsi="Times New Roman"/>
          <w:sz w:val="28"/>
          <w:szCs w:val="28"/>
        </w:rPr>
        <w:t xml:space="preserve">- в текстовой части проекта недопустимо применение понятий и терминов, не имеющих нормативного определения, либо несущих неоднозначную смысловую нагрузку; </w:t>
      </w:r>
    </w:p>
    <w:p w:rsidR="00E10508" w:rsidRDefault="00E10508" w:rsidP="00E10508">
      <w:pPr>
        <w:spacing w:after="0" w:line="240" w:lineRule="auto"/>
        <w:ind w:left="-360"/>
        <w:jc w:val="both"/>
        <w:rPr>
          <w:rFonts w:ascii="Times New Roman" w:hAnsi="Times New Roman"/>
          <w:sz w:val="28"/>
          <w:szCs w:val="28"/>
        </w:rPr>
      </w:pPr>
      <w:r>
        <w:rPr>
          <w:rFonts w:ascii="Times New Roman" w:hAnsi="Times New Roman"/>
          <w:sz w:val="28"/>
          <w:szCs w:val="28"/>
        </w:rPr>
        <w:t xml:space="preserve">- наименование субъектов ведомственной структуры в текстовой части проекта должно быть идентично наименованию соответствующих субъектов в его табличной части; </w:t>
      </w:r>
    </w:p>
    <w:p w:rsidR="00E10508" w:rsidRDefault="00E10508" w:rsidP="00E10508">
      <w:pPr>
        <w:spacing w:after="0" w:line="240" w:lineRule="auto"/>
        <w:ind w:left="-360"/>
        <w:jc w:val="both"/>
        <w:rPr>
          <w:rFonts w:ascii="Times New Roman" w:hAnsi="Times New Roman"/>
          <w:sz w:val="28"/>
          <w:szCs w:val="28"/>
        </w:rPr>
      </w:pPr>
      <w:r>
        <w:rPr>
          <w:rFonts w:ascii="Times New Roman" w:hAnsi="Times New Roman"/>
          <w:sz w:val="28"/>
          <w:szCs w:val="28"/>
        </w:rPr>
        <w:t>- наименование налоговых и неналоговых доходов бюджета, используемых в текстовой и табличной части проекта решения о бюджете, должно соответствовать наименованиям соотве</w:t>
      </w:r>
      <w:r w:rsidR="00381CDD">
        <w:rPr>
          <w:rFonts w:ascii="Times New Roman" w:hAnsi="Times New Roman"/>
          <w:sz w:val="28"/>
          <w:szCs w:val="28"/>
        </w:rPr>
        <w:t>тствующих доходов, установленных</w:t>
      </w:r>
      <w:r>
        <w:rPr>
          <w:rFonts w:ascii="Times New Roman" w:hAnsi="Times New Roman"/>
          <w:sz w:val="28"/>
          <w:szCs w:val="28"/>
        </w:rPr>
        <w:t xml:space="preserve"> бюджетной классификацией доходов РФ; </w:t>
      </w:r>
    </w:p>
    <w:p w:rsidR="00E10508" w:rsidRDefault="00E10508" w:rsidP="00E10508">
      <w:pPr>
        <w:spacing w:after="0" w:line="240" w:lineRule="auto"/>
        <w:ind w:left="-360"/>
        <w:jc w:val="both"/>
        <w:rPr>
          <w:rFonts w:ascii="Times New Roman" w:hAnsi="Times New Roman"/>
          <w:sz w:val="28"/>
          <w:szCs w:val="28"/>
        </w:rPr>
      </w:pPr>
      <w:r>
        <w:rPr>
          <w:rFonts w:ascii="Times New Roman" w:hAnsi="Times New Roman"/>
          <w:sz w:val="28"/>
          <w:szCs w:val="28"/>
        </w:rPr>
        <w:t xml:space="preserve">- наименования форм расходования бюджетных средств должны соответствовать наименованиям, приведенным в статье 69 БК РФ;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 расходы, планируемые за счет целевых средств из бюджетов вышестоящих уровней, должны отражаться в бюджетах нижестоящих уровней в том же объеме, в каком в них отражены поступления на указанные цели, а в отдельных случаях указанные расходы должны планироваться и отражаться отдельно от расходов за счет иных источников доходов бюджета.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при установлении в проекте решения о бюджете дефицита бюджета объем муниципальных заимствований, указанных в Программе муниципальных заимствований с назначением на покрытие дефицита бюджета, должен корреспондировать с объемом соответствующих поступлений, указанных в своде поступлений из источников внутреннего финансирования дефицита бюджета;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значения основных характеристик бюджета, указанные в текстовой части проекта решения о бюджете, должны соответствовать значениям этих показателей в табличной части проекта.</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9"/>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Оценка соответствия структуры и методов расчета предлагаемых бюджетных показателей утвержденной методике составления проекта бюджета </w:t>
      </w:r>
    </w:p>
    <w:p w:rsidR="00E10508" w:rsidRDefault="00E10508" w:rsidP="00E10508">
      <w:pPr>
        <w:spacing w:after="0" w:line="240" w:lineRule="auto"/>
        <w:ind w:left="-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Методика формирования проекта бюджета должна утверждаться нормативным правовым актом муниципального образования. Проверка соответствия структуры и методов расчета показателей проекта бюджета методике может быть проведена в два этапа: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на первом этапе устанавливается соответствие состава показателей, приведенных в проекте бюджета, составу показателей, определенному методикой;</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на втором этапе проверяется правильность расчета проектных показателей, рекомендуется самостоятельно выполнить расчет показателей, используя приведенные в методике финансовые нормативы затрат и отраслевые показатели, характеризующие физические объемы предоставляемых муниципальных услуг. В ходе расчета могут быть выявлены логические и счетные ошибки, на которые следует указать в заключении по результатам экспертизы.</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10"/>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lastRenderedPageBreak/>
        <w:t>Оценка достоверности, законности и полноты отражения доходов в доходной части бюджета (ст. 32, 37, 59 и 64 БК РФ)</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В соответствии со статьей 20 БК РФ классификация доходов бюджетов РФ включает в себя код администратора поступлений в бюджет, группы, подгруппы, статьи, подстатьи, элементы, программы (подпрограммы) и коды экономической классификации доходов. В ходе экспертизы проекта решения о бюджете следует проанализировать</w:t>
      </w:r>
      <w:r>
        <w:rPr>
          <w:rFonts w:ascii="Times New Roman" w:hAnsi="Times New Roman"/>
          <w:color w:val="FF00FF"/>
          <w:sz w:val="28"/>
          <w:szCs w:val="28"/>
        </w:rPr>
        <w:t>:</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правомерность и правильность применения бюджетной классификации РФ;</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правильность применения наименований доходных источников;</w:t>
      </w:r>
    </w:p>
    <w:p w:rsidR="00E10508" w:rsidRDefault="00646B8C"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w:t>
      </w:r>
      <w:r w:rsidR="00E10508">
        <w:rPr>
          <w:rFonts w:ascii="Times New Roman" w:hAnsi="Times New Roman"/>
          <w:sz w:val="28"/>
          <w:szCs w:val="28"/>
        </w:rPr>
        <w:t xml:space="preserve">обоснованность включения в состав доходной части бюджета всех доходных источников. </w:t>
      </w:r>
    </w:p>
    <w:p w:rsidR="00E10508" w:rsidRDefault="00E10508" w:rsidP="00E10508">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46B8C">
        <w:rPr>
          <w:rFonts w:ascii="Times New Roman" w:hAnsi="Times New Roman"/>
          <w:sz w:val="28"/>
          <w:szCs w:val="28"/>
        </w:rPr>
        <w:t>-</w:t>
      </w:r>
      <w:r>
        <w:rPr>
          <w:rFonts w:ascii="Times New Roman" w:hAnsi="Times New Roman"/>
          <w:sz w:val="28"/>
          <w:szCs w:val="28"/>
        </w:rPr>
        <w:t>обоснованность установления проектных назначений по доходам бюджета настолько подробно, насколько это позволяет принятый уровень детализации соответствующих назначений (в соответствии с БК РФ – не ниже статьи классификации доходов бюджетов РФ).</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Реалистичность плановых назначений по налоговым доходам бюджета устанавливается в ходе проверки на соответствие запланированного объема поступлений путем оценки полноты учета составителями проекта решения о бюджете норм действующего налогового законодательства.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В ходе экспертизы проекта решения о бюджете необходимо проконтролировать соблюдение сроков принятия нормативных актов о налогах (статья 5 НК РФ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В необходимых случаях могут также предусматриваться налоговые льготы и основания для их использования налогоплательщиками (статья 17 Налогового кодекса РФ). </w:t>
      </w:r>
      <w:r w:rsidR="00381CDD">
        <w:rPr>
          <w:rFonts w:ascii="Times New Roman" w:hAnsi="Times New Roman"/>
          <w:sz w:val="28"/>
          <w:szCs w:val="28"/>
        </w:rPr>
        <w:t>Л</w:t>
      </w:r>
      <w:r>
        <w:rPr>
          <w:rFonts w:ascii="Times New Roman" w:hAnsi="Times New Roman"/>
          <w:sz w:val="28"/>
          <w:szCs w:val="28"/>
        </w:rPr>
        <w:t>ьготирование отдельных категорий налогоплательщиков влечет потери налоговых доходов бюджета. Вследствие этого сведения о предполагаемых потерях от предоставленных налоговых льгот должны учитываться в обязательном порядке. 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(пункт 1 статьи 56 Налогового кодекса РФ).  Кроме того, полномочия представительного органа местного самоуправления по установлению и отмене льгот распространяются только на местные налоги (пункт 3 статьи 56 Налогового кодекса РФ).</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Используя данные о количестве заключенных договоров аренды недвижимого имущества и земельных участков, размерах ставок базовой арендной платы</w:t>
      </w:r>
      <w:r>
        <w:rPr>
          <w:rFonts w:ascii="Times New Roman" w:hAnsi="Times New Roman"/>
          <w:color w:val="FF00FF"/>
          <w:sz w:val="28"/>
          <w:szCs w:val="28"/>
        </w:rPr>
        <w:t xml:space="preserve"> </w:t>
      </w:r>
      <w:r>
        <w:rPr>
          <w:rFonts w:ascii="Times New Roman" w:hAnsi="Times New Roman"/>
          <w:sz w:val="28"/>
          <w:szCs w:val="28"/>
        </w:rPr>
        <w:t>можно оценить полноту учета поступлений в бюджет муниципального образования от передачи в аренду объектов зданий, отдельных помещений и земельных участков.</w:t>
      </w:r>
      <w:r>
        <w:rPr>
          <w:rFonts w:ascii="Times New Roman" w:hAnsi="Times New Roman"/>
          <w:color w:val="FF00FF"/>
          <w:sz w:val="28"/>
          <w:szCs w:val="28"/>
        </w:rPr>
        <w:t xml:space="preserve"> </w:t>
      </w:r>
      <w:r>
        <w:rPr>
          <w:rFonts w:ascii="Times New Roman" w:hAnsi="Times New Roman"/>
          <w:sz w:val="28"/>
          <w:szCs w:val="28"/>
        </w:rPr>
        <w:t xml:space="preserve">Кроме того, необходимо оценить потери местного бюджета от предоставления льгот по уплате арендной платы, при этом, учитывая, что льготы могут предоставляться только в случаях, установленных Гражданским кодексом Российской Федерации (а не по </w:t>
      </w:r>
      <w:r>
        <w:rPr>
          <w:rFonts w:ascii="Times New Roman" w:hAnsi="Times New Roman"/>
          <w:sz w:val="28"/>
          <w:szCs w:val="28"/>
        </w:rPr>
        <w:lastRenderedPageBreak/>
        <w:t>нормативным правовым актам органов местного самоуправления) путем зачета денежных средств.</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Для оценки обоснованности назначений по доходам бюджета возможно использование динамических показателей экономического анализа. В частности, уместно сопоставить темп роста планируемых доходов бюджета в очередном финансовом году к текущему финансовому году. </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11"/>
        </w:numPr>
        <w:tabs>
          <w:tab w:val="num"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правомерности установления расходных обязательств на очередной финансовый год, в частности, соблюдения законодательно установленного разграничения компетенции между уровнями государственной власти и местного самоуправления (ст. 65, 85, 86, БК РФ, ст. 14-18 ФЗ № 131-ФЗ).</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Расходные обязательства, установленные на очередной финансовый год, должны соответствовать законодательно установленным полномочиям органов местного самоуправления. Передача реализации полномочий с одного уровня власти на другой правомерно возможна в случае их финансового обеспечения передающей стороной. В проекте решения о бюджете муниципального образования должны отдельно отражаться назначения по расходам на финансовое обеспечение собственных полномочий и полномочий, передаваемых с других уровней власти.</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Для проверки правомерности установления расходных обязательств необходимо изучить реестр расходных обязательств муниципального образования (статья 87 БК РФ).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Расходные обязательства - обусловленные законом, иным нормативным правовым актом, договором или соглашением обязанности субъекта Российской Федерации, муниципального образования предоставить физическим или юридическим лицам, органам местного самоуправления средства соответствующего бюджета (ст.6 БК РФ). Правомерность установления расходных обязательств можно оценить, используя два критерия. К ним относ</w:t>
      </w:r>
      <w:r w:rsidR="00381CDD">
        <w:rPr>
          <w:rFonts w:ascii="Times New Roman" w:hAnsi="Times New Roman"/>
          <w:sz w:val="28"/>
          <w:szCs w:val="28"/>
        </w:rPr>
        <w:t>я</w:t>
      </w:r>
      <w:r>
        <w:rPr>
          <w:rFonts w:ascii="Times New Roman" w:hAnsi="Times New Roman"/>
          <w:sz w:val="28"/>
          <w:szCs w:val="28"/>
        </w:rPr>
        <w:t>тся: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критерий не превышения пределов законодательно установленной компетенции органа (должностного лица), принявшего расходное обязательство;</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критерий соответствия формы документа, на основании которого принято расходное обязательство, законодательно установленной форме.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Оптимальность объема установленного расходного обязательства проверяется путем сравнения его стоимостной оценки с уровнем минимально необходимых затрат на исполнение.</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numPr>
          <w:ilvl w:val="0"/>
          <w:numId w:val="12"/>
        </w:numPr>
        <w:tabs>
          <w:tab w:val="left" w:pos="360"/>
        </w:tabs>
        <w:spacing w:after="0" w:line="240" w:lineRule="auto"/>
        <w:ind w:left="-360" w:firstLine="360"/>
        <w:jc w:val="both"/>
        <w:rPr>
          <w:rFonts w:ascii="Times New Roman" w:hAnsi="Times New Roman"/>
          <w:sz w:val="28"/>
          <w:szCs w:val="28"/>
        </w:rPr>
      </w:pPr>
      <w:r>
        <w:rPr>
          <w:rFonts w:ascii="Times New Roman" w:hAnsi="Times New Roman"/>
          <w:sz w:val="28"/>
          <w:szCs w:val="28"/>
        </w:rPr>
        <w:t>Оценка достаточности запланированных ассигнований для исполнения установленных расходных обязательств муниципального образования</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При проверке достаточности бюджетных ассигновани</w:t>
      </w:r>
      <w:r w:rsidR="00381CDD">
        <w:rPr>
          <w:rFonts w:ascii="Times New Roman" w:hAnsi="Times New Roman"/>
          <w:sz w:val="28"/>
          <w:szCs w:val="28"/>
        </w:rPr>
        <w:t>й</w:t>
      </w:r>
      <w:r>
        <w:rPr>
          <w:rFonts w:ascii="Times New Roman" w:hAnsi="Times New Roman"/>
          <w:sz w:val="28"/>
          <w:szCs w:val="28"/>
        </w:rPr>
        <w:t xml:space="preserve"> для выполнения расходных обязательств органов местного самоуправления следует проанализировать содержание реестра расходных обязательств муниципального образования. </w:t>
      </w:r>
      <w:proofErr w:type="gramStart"/>
      <w:r>
        <w:rPr>
          <w:rFonts w:ascii="Times New Roman" w:hAnsi="Times New Roman"/>
          <w:sz w:val="28"/>
          <w:szCs w:val="28"/>
        </w:rPr>
        <w:t xml:space="preserve">Согласно определению, приведенному в статье 87 БК РФ, под реестром расходных обязательств понимается свод (перечень) нормативных правовых актов и заключенных органами государственной власти (органами местного самоуправления) договоров и соглашений </w:t>
      </w:r>
      <w:r>
        <w:rPr>
          <w:rFonts w:ascii="Times New Roman" w:hAnsi="Times New Roman"/>
          <w:sz w:val="28"/>
          <w:szCs w:val="28"/>
        </w:rPr>
        <w:lastRenderedPageBreak/>
        <w:t>(отдельных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roofErr w:type="gramEnd"/>
      <w:r>
        <w:rPr>
          <w:rFonts w:ascii="Times New Roman" w:hAnsi="Times New Roman"/>
          <w:sz w:val="28"/>
          <w:szCs w:val="28"/>
        </w:rPr>
        <w:t xml:space="preserve"> Форма реестра определена приказом Министерства финансов РФ. Расходные обязательства отражаются в реестре в разрезе признаков функциональной и экономической классификации расходов бюджета  с указанием объемов средств на их исполнение. Порядок ведения реестров расходных обязательств утверждается исполнительными органами местного самоуправления.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По данным реестра можно сформировать две группы расходных обязательств:</w:t>
      </w:r>
    </w:p>
    <w:p w:rsidR="00E10508" w:rsidRDefault="00E10508" w:rsidP="00E10508">
      <w:pPr>
        <w:spacing w:after="0" w:line="240" w:lineRule="auto"/>
        <w:ind w:left="-360" w:firstLine="360"/>
        <w:jc w:val="both"/>
        <w:rPr>
          <w:rFonts w:ascii="Times New Roman" w:hAnsi="Times New Roman"/>
          <w:color w:val="FF0000"/>
          <w:sz w:val="28"/>
          <w:szCs w:val="28"/>
        </w:rPr>
      </w:pPr>
      <w:r>
        <w:rPr>
          <w:rFonts w:ascii="Times New Roman" w:hAnsi="Times New Roman"/>
          <w:sz w:val="28"/>
          <w:szCs w:val="28"/>
        </w:rPr>
        <w:t>- действующие обязательства, правовым основанием которых являются ранее заключенные соглашения, договоры и иные нормативные правовые документы, принятые в пределах компетенции и действующие ряд лет, либо ежегодно возобновляемые;</w:t>
      </w:r>
    </w:p>
    <w:p w:rsidR="00E10508" w:rsidRDefault="00E10508" w:rsidP="00E10508">
      <w:pPr>
        <w:spacing w:after="0" w:line="240" w:lineRule="auto"/>
        <w:ind w:left="-360" w:firstLine="360"/>
        <w:jc w:val="both"/>
        <w:rPr>
          <w:rFonts w:ascii="Times New Roman" w:hAnsi="Times New Roman"/>
          <w:color w:val="FF0000"/>
          <w:sz w:val="28"/>
          <w:szCs w:val="28"/>
        </w:rPr>
      </w:pPr>
      <w:r>
        <w:rPr>
          <w:rFonts w:ascii="Times New Roman" w:hAnsi="Times New Roman"/>
          <w:sz w:val="28"/>
          <w:szCs w:val="28"/>
        </w:rPr>
        <w:t>- вновь принимаемые обязательства, правовым основанием которых являются вновь заключаемые договоры и соглашения, иные нормативные правовые акты, принятые в пределах компетенции.</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Обе группы можно разделить на две подгруппы:</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расходные обязательства, соглашения, договоры и правовые акты по которым вступили в силу до внесения проекта закона (решения) о бюджете,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расходные обязательства, соглашения, договоры и правовые акты по которым не вступили в законную силу к моменту внесения проекта решения о бюджете.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Обоснованность прогнозного объема расходных обязательств, учтенных в реестре на очередной финансовый год в целях обеспечения муниципальных нужд, может быть проверена по данным перечней потребностей в товарах, работах, услугах для муниципальных нужд. Целесообразно, чтобы данные указанных перечней формировались в соответствии с ведомственной классификацией расходов бюджетов соответствующих уровней.</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Следует иметь в виду, что расходы на приобретение товаров, работ, услуг для муниципальных нужд во многих случаях совершаются на основании муниципальных контрактов, которые зачастую заключаются уже после внесения проекта решения о бюджете в представительный орган муниципального образования и даже по окончании текущего финансового года (в течение очередного финансового года). Данную особенность необходимо учитывать при вынесении оценки о достаточности бюджетных ассигнований для финансирования установленных расходных обязательств.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Обоснованность назначений бюджета по расходам на содержание органов местного самоуправления проверяется с использованием индекса, формируемого на основе данных о предельной штатной численности муниципальных служащих на очередной и текущий финансовый год, а также данных о соответствующих расходах в текущем финансовом году. В случае превышения плановыми назначениями расчетного уровня расходов на содержание органов местного самоуправления необходимо обосновать его причины.</w:t>
      </w:r>
    </w:p>
    <w:p w:rsidR="00E10508" w:rsidRDefault="00E10508" w:rsidP="00E10508">
      <w:pPr>
        <w:spacing w:after="0" w:line="240" w:lineRule="auto"/>
        <w:ind w:left="-360" w:firstLine="360"/>
        <w:jc w:val="both"/>
        <w:rPr>
          <w:rFonts w:ascii="Times New Roman" w:hAnsi="Times New Roman"/>
          <w:b/>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lastRenderedPageBreak/>
        <w:t xml:space="preserve">Следует оценить, какую долю затрат соответствующего раздела функциональной классификации занимают ассигнования на реализацию бюджетных программ.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В ходе проектирования бюджетов муниципальных образований применяются региональные финансовые нормативы, утверждаемые нормативными правовыми актами исполнительных органов государственной власти субъекта Российской Федерации в отношении затрат по переданным государственным полномочиям.</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После проверки соответствия бюджетных обязательств расходным обязательствам с учетом данных перечней потребностей для муниципальных нужд необходимо сделать выводы о целесообразности и законности приостановления действия отдельных нормативных правовых актов (либо некоторых норм этих актов) вследствие недостаточности сре</w:t>
      </w:r>
      <w:proofErr w:type="gramStart"/>
      <w:r>
        <w:rPr>
          <w:rFonts w:ascii="Times New Roman" w:hAnsi="Times New Roman"/>
          <w:sz w:val="28"/>
          <w:szCs w:val="28"/>
        </w:rPr>
        <w:t>дств в б</w:t>
      </w:r>
      <w:proofErr w:type="gramEnd"/>
      <w:r>
        <w:rPr>
          <w:rFonts w:ascii="Times New Roman" w:hAnsi="Times New Roman"/>
          <w:sz w:val="28"/>
          <w:szCs w:val="28"/>
        </w:rPr>
        <w:t xml:space="preserve">юджете, а также о величине объема ассигнований, требуемых для возобновления их финансирования.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10.</w:t>
      </w:r>
      <w:r w:rsidR="00381CDD">
        <w:rPr>
          <w:rFonts w:ascii="Times New Roman" w:hAnsi="Times New Roman"/>
          <w:sz w:val="28"/>
          <w:szCs w:val="28"/>
        </w:rPr>
        <w:t xml:space="preserve"> </w:t>
      </w:r>
      <w:r>
        <w:rPr>
          <w:rFonts w:ascii="Times New Roman" w:hAnsi="Times New Roman"/>
          <w:sz w:val="28"/>
          <w:szCs w:val="28"/>
        </w:rPr>
        <w:t>Оценка соответствия показателей программной части бюджета показателям принятых ранее целевых программ, включая долгосрочные и ведомственные целевые программы муниципального уровня, финансирование которых предусмотрено проектом решения о бюджете в очередном финансовом году</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Программная часть бюджета соответствующего уровня проектируется в рамках ведомственной бюджетной структуры.</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При </w:t>
      </w:r>
      <w:r w:rsidR="00381CDD">
        <w:rPr>
          <w:rFonts w:ascii="Times New Roman" w:hAnsi="Times New Roman"/>
          <w:sz w:val="28"/>
          <w:szCs w:val="28"/>
        </w:rPr>
        <w:t>подготовке финансовой экспертизы</w:t>
      </w:r>
      <w:r>
        <w:rPr>
          <w:rFonts w:ascii="Times New Roman" w:hAnsi="Times New Roman"/>
          <w:sz w:val="28"/>
          <w:szCs w:val="28"/>
        </w:rPr>
        <w:t xml:space="preserve"> программной части проекта решения о бюджете на следующий финансовый год имеет смысл провести сравнительный анализ некоторых  абсолютных и относительных показателей, характеризующих данный раздел бюджета в сравнении с аналогичными показателями бюджета текущего год</w:t>
      </w:r>
      <w:r w:rsidR="00381CDD">
        <w:rPr>
          <w:rFonts w:ascii="Times New Roman" w:hAnsi="Times New Roman"/>
          <w:sz w:val="28"/>
          <w:szCs w:val="28"/>
        </w:rPr>
        <w:t>а</w:t>
      </w:r>
      <w:r>
        <w:rPr>
          <w:rFonts w:ascii="Times New Roman" w:hAnsi="Times New Roman"/>
          <w:sz w:val="28"/>
          <w:szCs w:val="28"/>
        </w:rPr>
        <w:t xml:space="preserve">. Сравнительному </w:t>
      </w:r>
      <w:proofErr w:type="gramStart"/>
      <w:r>
        <w:rPr>
          <w:rFonts w:ascii="Times New Roman" w:hAnsi="Times New Roman"/>
          <w:sz w:val="28"/>
          <w:szCs w:val="28"/>
        </w:rPr>
        <w:t>анализу</w:t>
      </w:r>
      <w:proofErr w:type="gramEnd"/>
      <w:r>
        <w:rPr>
          <w:rFonts w:ascii="Times New Roman" w:hAnsi="Times New Roman"/>
          <w:sz w:val="28"/>
          <w:szCs w:val="28"/>
        </w:rPr>
        <w:t xml:space="preserve"> как в абсолютных, так и в относительных значениях, могут подвергнуться такие показатели, как общее количество программ, общий объем выделяемых на реализацию целевых программ бюджетных средств, доля расходов на целевые программы в общих расхода</w:t>
      </w:r>
      <w:r w:rsidR="00381CDD">
        <w:rPr>
          <w:rFonts w:ascii="Times New Roman" w:hAnsi="Times New Roman"/>
          <w:sz w:val="28"/>
          <w:szCs w:val="28"/>
        </w:rPr>
        <w:t>х соответствующего бюджета. Так</w:t>
      </w:r>
      <w:r>
        <w:rPr>
          <w:rFonts w:ascii="Times New Roman" w:hAnsi="Times New Roman"/>
          <w:sz w:val="28"/>
          <w:szCs w:val="28"/>
        </w:rPr>
        <w:t>же сравнительная характеристика указанных выше показателей может быть дана в разрез</w:t>
      </w:r>
      <w:r w:rsidR="00381CDD">
        <w:rPr>
          <w:rFonts w:ascii="Times New Roman" w:hAnsi="Times New Roman"/>
          <w:sz w:val="28"/>
          <w:szCs w:val="28"/>
        </w:rPr>
        <w:t xml:space="preserve">е </w:t>
      </w:r>
      <w:r>
        <w:rPr>
          <w:rFonts w:ascii="Times New Roman" w:hAnsi="Times New Roman"/>
          <w:sz w:val="28"/>
          <w:szCs w:val="28"/>
        </w:rPr>
        <w:t xml:space="preserve"> разделов функциональной классификации расходов.</w:t>
      </w:r>
    </w:p>
    <w:p w:rsidR="00E10508" w:rsidRDefault="00E10508" w:rsidP="00E10508">
      <w:pPr>
        <w:pStyle w:val="2"/>
        <w:spacing w:after="0" w:line="240" w:lineRule="auto"/>
        <w:ind w:left="-360" w:firstLine="360"/>
        <w:jc w:val="both"/>
        <w:rPr>
          <w:sz w:val="28"/>
          <w:szCs w:val="28"/>
        </w:rPr>
      </w:pPr>
      <w:r>
        <w:rPr>
          <w:sz w:val="28"/>
          <w:szCs w:val="28"/>
        </w:rPr>
        <w:t>Необходимо проконтролировать, надлежащим ли образом утверждены представленные в проекте решения целевые программы, а также проверить на соответствие представленных в проекте объемов финансирования конкретных целевых программ, тем объёмам,  которые были закреплены в соответствующих нормативных правовых актах о принятии данных целевых муниципальных программ.</w:t>
      </w:r>
    </w:p>
    <w:p w:rsidR="00E10508" w:rsidRDefault="00E10508" w:rsidP="00E10508">
      <w:pPr>
        <w:spacing w:after="0" w:line="240" w:lineRule="auto"/>
        <w:jc w:val="both"/>
        <w:rPr>
          <w:rFonts w:ascii="Times New Roman" w:hAnsi="Times New Roman"/>
          <w:sz w:val="28"/>
          <w:szCs w:val="28"/>
        </w:rPr>
      </w:pPr>
      <w:r>
        <w:rPr>
          <w:rFonts w:ascii="Times New Roman" w:hAnsi="Times New Roman"/>
          <w:sz w:val="28"/>
          <w:szCs w:val="28"/>
        </w:rPr>
        <w:t>11.</w:t>
      </w:r>
      <w:r w:rsidR="00381CDD">
        <w:rPr>
          <w:rFonts w:ascii="Times New Roman" w:hAnsi="Times New Roman"/>
          <w:sz w:val="28"/>
          <w:szCs w:val="28"/>
        </w:rPr>
        <w:t xml:space="preserve"> </w:t>
      </w:r>
      <w:r>
        <w:rPr>
          <w:rFonts w:ascii="Times New Roman" w:hAnsi="Times New Roman"/>
          <w:sz w:val="28"/>
          <w:szCs w:val="28"/>
        </w:rPr>
        <w:t>Оценка сбалансированности бюджета, анализ источников финансирования дефицита</w:t>
      </w:r>
      <w:r w:rsidR="00381CDD">
        <w:rPr>
          <w:rFonts w:ascii="Times New Roman" w:hAnsi="Times New Roman"/>
          <w:sz w:val="28"/>
          <w:szCs w:val="28"/>
        </w:rPr>
        <w:t xml:space="preserve"> </w:t>
      </w:r>
      <w:r>
        <w:rPr>
          <w:rFonts w:ascii="Times New Roman" w:hAnsi="Times New Roman"/>
          <w:sz w:val="28"/>
          <w:szCs w:val="28"/>
        </w:rPr>
        <w:t>бюджета (ст. 33,  92, 96 БК РФ)</w:t>
      </w:r>
    </w:p>
    <w:p w:rsidR="00E10508" w:rsidRDefault="00E10508" w:rsidP="00E10508">
      <w:pPr>
        <w:spacing w:after="0" w:line="240" w:lineRule="auto"/>
        <w:ind w:left="-360" w:firstLine="360"/>
        <w:jc w:val="both"/>
        <w:rPr>
          <w:rFonts w:ascii="Times New Roman" w:hAnsi="Times New Roman"/>
          <w:sz w:val="28"/>
          <w:szCs w:val="28"/>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В соответствии с положениями статьи 33 БК РФ под сбалансированностью бюджета понимается соответствие объема предусмотренных бюджетом расходов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Согласно статье 92 БК РФ источники финансирования дефицита бюджета утверждаются решением о бюджете в случае принятия его с дефицитом, либо в том </w:t>
      </w:r>
      <w:r>
        <w:rPr>
          <w:rFonts w:ascii="Times New Roman" w:hAnsi="Times New Roman"/>
          <w:sz w:val="28"/>
          <w:szCs w:val="28"/>
        </w:rPr>
        <w:lastRenderedPageBreak/>
        <w:t>случае, когда дефицит не предусмотрен, но планируются расходы на погашение муниципального долга.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В текстовой части проекта решения о бюджете должны раскрываться сведения о размере поступлений из источников финансирования дефицита бюджета, направляемых на погашение муниципальных долговых обязательств и погашение дефицита бюджета (в случае, если он предусматривается).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Анализ источников финансирования дефицита бюджета проводится в два этапа.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На первом этапе проверяется соответствие кодов источников финансирования дефицита бюджета, внесенных в проект решения о бюджете, действующей классификации </w:t>
      </w:r>
      <w:proofErr w:type="gramStart"/>
      <w:r>
        <w:rPr>
          <w:rFonts w:ascii="Times New Roman" w:hAnsi="Times New Roman"/>
          <w:sz w:val="28"/>
          <w:szCs w:val="28"/>
        </w:rPr>
        <w:t>источников внутреннего финансирования дефицитов бюджетов Российской Федерации</w:t>
      </w:r>
      <w:proofErr w:type="gramEnd"/>
      <w:r>
        <w:rPr>
          <w:rFonts w:ascii="Times New Roman" w:hAnsi="Times New Roman"/>
          <w:sz w:val="28"/>
          <w:szCs w:val="28"/>
        </w:rPr>
        <w:t xml:space="preserve">. Согласно статье 23 БК РФ указанная классификация включает в себя группы, подгруппы, статьи, подстатьи, элементы, программы (подпрограммы) и коды экономической классификации источников внутреннего финансирования дефицитов бюджетов, код </w:t>
      </w:r>
      <w:proofErr w:type="gramStart"/>
      <w:r>
        <w:rPr>
          <w:rFonts w:ascii="Times New Roman" w:hAnsi="Times New Roman"/>
          <w:sz w:val="28"/>
          <w:szCs w:val="28"/>
        </w:rPr>
        <w:t>администратора источников внутреннего финансирования дефицитов бюджетов</w:t>
      </w:r>
      <w:proofErr w:type="gramEnd"/>
      <w:r>
        <w:rPr>
          <w:rFonts w:ascii="Times New Roman" w:hAnsi="Times New Roman"/>
          <w:sz w:val="28"/>
          <w:szCs w:val="28"/>
        </w:rPr>
        <w:t xml:space="preserve">. </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На втором этапе проверяется достаточность поступлений из источников финансирования дефицита бюджета для обеспечения указанных в тексте проекта решения о бюджете параметров  дефицита бюджета.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12</w:t>
      </w:r>
      <w:r w:rsidR="00381CDD">
        <w:rPr>
          <w:rFonts w:ascii="Times New Roman" w:hAnsi="Times New Roman"/>
          <w:sz w:val="28"/>
          <w:szCs w:val="28"/>
        </w:rPr>
        <w:t xml:space="preserve"> </w:t>
      </w:r>
      <w:r>
        <w:rPr>
          <w:rFonts w:ascii="Times New Roman" w:hAnsi="Times New Roman"/>
          <w:sz w:val="28"/>
          <w:szCs w:val="28"/>
        </w:rPr>
        <w:t xml:space="preserve">.Оценка планирования управления муниципальным долгом (ст. 100, 101, 102, 104, 107, 110-115, 117, 119) </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Объем дефицита бюджета, верхний предел муниципального долга отнесены Бюджетным кодексом РФ к обязательным показателям проекта решения о бюджете независимо от того, какой величины планируются их значения. </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Программа внутренних муниципальных заимствований принимается с проектом решения о бюджете даже в том случае, если на очередной финансовый год заимствования вообще не планируются, но предусматривается гашение долговых обязательств текущего и прошлых лет.</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r>
        <w:rPr>
          <w:rFonts w:ascii="Times New Roman" w:hAnsi="Times New Roman"/>
          <w:sz w:val="28"/>
          <w:szCs w:val="28"/>
        </w:rPr>
        <w:t>При оценке правильности устанавливаемых показателей и назначений в части объема муниципального долга, объема дефицита бюджета, расходов на погашение и обслуживание муниципального долга следует проверить соблюдение ограничений, устанавливаемых к их параметрам Бюджетным кодексом РФ (статья 92 БК РФ).</w:t>
      </w:r>
    </w:p>
    <w:p w:rsidR="00E10508" w:rsidRDefault="00E10508" w:rsidP="00E10508">
      <w:pPr>
        <w:autoSpaceDE w:val="0"/>
        <w:autoSpaceDN w:val="0"/>
        <w:adjustRightInd w:val="0"/>
        <w:spacing w:after="0" w:line="240" w:lineRule="auto"/>
        <w:ind w:left="-360" w:firstLine="360"/>
        <w:jc w:val="both"/>
        <w:rPr>
          <w:rFonts w:ascii="Times New Roman" w:hAnsi="Times New Roman"/>
          <w:sz w:val="28"/>
          <w:szCs w:val="28"/>
        </w:rPr>
      </w:pPr>
    </w:p>
    <w:p w:rsidR="00E10508" w:rsidRDefault="004D2792" w:rsidP="001E72E4">
      <w:pPr>
        <w:spacing w:after="0" w:line="240" w:lineRule="auto"/>
        <w:ind w:left="-360" w:firstLine="360"/>
        <w:jc w:val="center"/>
        <w:outlineLvl w:val="0"/>
        <w:rPr>
          <w:rFonts w:ascii="Times New Roman" w:hAnsi="Times New Roman"/>
          <w:b/>
          <w:sz w:val="28"/>
          <w:szCs w:val="28"/>
          <w:u w:val="single"/>
        </w:rPr>
      </w:pPr>
      <w:r>
        <w:rPr>
          <w:rFonts w:ascii="Times New Roman" w:hAnsi="Times New Roman"/>
          <w:b/>
          <w:sz w:val="28"/>
          <w:szCs w:val="28"/>
          <w:u w:val="single"/>
        </w:rPr>
        <w:t>4</w:t>
      </w:r>
      <w:r w:rsidR="00E10508">
        <w:rPr>
          <w:rFonts w:ascii="Times New Roman" w:hAnsi="Times New Roman"/>
          <w:b/>
          <w:sz w:val="28"/>
          <w:szCs w:val="28"/>
          <w:u w:val="single"/>
        </w:rPr>
        <w:t>. Результат экспертизы</w:t>
      </w:r>
    </w:p>
    <w:p w:rsidR="00E10508" w:rsidRDefault="00E10508" w:rsidP="00E10508">
      <w:pPr>
        <w:spacing w:after="0" w:line="240" w:lineRule="auto"/>
        <w:ind w:left="-360" w:firstLine="360"/>
        <w:jc w:val="center"/>
        <w:rPr>
          <w:rFonts w:ascii="Times New Roman" w:hAnsi="Times New Roman"/>
          <w:b/>
          <w:sz w:val="28"/>
          <w:szCs w:val="28"/>
          <w:u w:val="single"/>
        </w:rPr>
      </w:pP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Результатом финансовой экспертизы проекта решения о</w:t>
      </w:r>
      <w:r w:rsidR="001E72E4">
        <w:rPr>
          <w:rFonts w:ascii="Times New Roman" w:hAnsi="Times New Roman"/>
          <w:sz w:val="28"/>
          <w:szCs w:val="28"/>
        </w:rPr>
        <w:t xml:space="preserve"> бюджете является заключение КСО</w:t>
      </w:r>
      <w:r>
        <w:rPr>
          <w:rFonts w:ascii="Times New Roman" w:hAnsi="Times New Roman"/>
          <w:sz w:val="28"/>
          <w:szCs w:val="28"/>
        </w:rPr>
        <w:t xml:space="preserve"> района, которое должно содержать следующую информацию:</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4.1. </w:t>
      </w:r>
      <w:r w:rsidR="00381CDD">
        <w:rPr>
          <w:rFonts w:ascii="Times New Roman" w:hAnsi="Times New Roman"/>
          <w:sz w:val="28"/>
          <w:szCs w:val="28"/>
        </w:rPr>
        <w:t>Н</w:t>
      </w:r>
      <w:r>
        <w:rPr>
          <w:rFonts w:ascii="Times New Roman" w:hAnsi="Times New Roman"/>
          <w:sz w:val="28"/>
          <w:szCs w:val="28"/>
        </w:rPr>
        <w:t>азвание документа – заключение;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4.2. </w:t>
      </w:r>
      <w:r w:rsidR="00381CDD">
        <w:rPr>
          <w:rFonts w:ascii="Times New Roman" w:hAnsi="Times New Roman"/>
          <w:sz w:val="28"/>
          <w:szCs w:val="28"/>
        </w:rPr>
        <w:t>С</w:t>
      </w:r>
      <w:r>
        <w:rPr>
          <w:rFonts w:ascii="Times New Roman" w:hAnsi="Times New Roman"/>
          <w:sz w:val="28"/>
          <w:szCs w:val="28"/>
        </w:rPr>
        <w:t>убъект экспертизы – наименование контрольного органа, который проводил экспертизу;</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4.3. </w:t>
      </w:r>
      <w:r w:rsidR="00381CDD">
        <w:rPr>
          <w:rFonts w:ascii="Times New Roman" w:hAnsi="Times New Roman"/>
          <w:sz w:val="28"/>
          <w:szCs w:val="28"/>
        </w:rPr>
        <w:t>П</w:t>
      </w:r>
      <w:r>
        <w:rPr>
          <w:rFonts w:ascii="Times New Roman" w:hAnsi="Times New Roman"/>
          <w:sz w:val="28"/>
          <w:szCs w:val="28"/>
        </w:rPr>
        <w:t>редмет экспертизы – проект решения о бюджете на финансовый год и плановый период  конкретного муниципального образования;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4.4. </w:t>
      </w:r>
      <w:r w:rsidR="00381CDD">
        <w:rPr>
          <w:rFonts w:ascii="Times New Roman" w:hAnsi="Times New Roman"/>
          <w:sz w:val="28"/>
          <w:szCs w:val="28"/>
        </w:rPr>
        <w:t>О</w:t>
      </w:r>
      <w:r>
        <w:rPr>
          <w:rFonts w:ascii="Times New Roman" w:hAnsi="Times New Roman"/>
          <w:sz w:val="28"/>
          <w:szCs w:val="28"/>
        </w:rPr>
        <w:t>сновной текст заключения, содержащий:</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 заключение о соответствия структуры проекта решения о бюджете требованиям бюджетного законодательства РФ (ст. 181 БК РФ);</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lastRenderedPageBreak/>
        <w:t>2) заключение о соответствии содержания текстовой части проекта решения на соответствие нормам федерального и регионального законодательства;</w:t>
      </w:r>
    </w:p>
    <w:p w:rsidR="00E10508" w:rsidRDefault="00E10508" w:rsidP="00E10508">
      <w:pPr>
        <w:widowControl w:val="0"/>
        <w:spacing w:after="0" w:line="240" w:lineRule="auto"/>
        <w:ind w:left="-360" w:firstLine="360"/>
        <w:jc w:val="both"/>
        <w:rPr>
          <w:rFonts w:ascii="Times New Roman" w:hAnsi="Times New Roman"/>
          <w:sz w:val="28"/>
          <w:szCs w:val="28"/>
        </w:rPr>
      </w:pPr>
      <w:r>
        <w:rPr>
          <w:rFonts w:ascii="Times New Roman" w:hAnsi="Times New Roman"/>
          <w:sz w:val="28"/>
          <w:szCs w:val="28"/>
        </w:rPr>
        <w:t>3) заключение о правильности применения бюджетной классификации Российской Федерации при составлении проекта решения о бюджете;</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4) заключение о внутренней непротиворечивости содержания проекта решения о бюджете;</w:t>
      </w:r>
    </w:p>
    <w:p w:rsidR="00E10508" w:rsidRDefault="00E10508" w:rsidP="00E10508">
      <w:pPr>
        <w:widowControl w:val="0"/>
        <w:spacing w:after="0" w:line="240" w:lineRule="auto"/>
        <w:ind w:left="-360" w:firstLine="360"/>
        <w:jc w:val="both"/>
        <w:rPr>
          <w:rFonts w:ascii="Times New Roman" w:hAnsi="Times New Roman"/>
          <w:sz w:val="28"/>
          <w:szCs w:val="28"/>
        </w:rPr>
      </w:pPr>
      <w:r>
        <w:rPr>
          <w:rFonts w:ascii="Times New Roman" w:hAnsi="Times New Roman"/>
          <w:sz w:val="28"/>
          <w:szCs w:val="28"/>
        </w:rPr>
        <w:t>5) заключение о соответствии предлагаемых бюджетных показателей утвержденной методике составления проекта бюджета;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6) заключение о достоверности, законности и полноте отражения доходов в доходной части бюджета, в том числе заключение о достоверности, законности и полноте отражения доходов поступающих в порядке межбюджетных  отношений;</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7) заключение о правомерности установления расходных обязательств на очередной финансовый год;</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8) заключение о достаточности запланированных бюджетных ассигнований для исполнения установленных расходных обязательств муниципального образования в соответствии  с  реестром  расходных  обязательств;</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9) заключение о соответствии показателей программной части бюджета показателям муниципальных целевых программ, утвержденных ранее соответствующими нормативными правовыми актами о принятии этих программ;</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10) заключение о сбалансированности бюджета и источниках финансирования дефицита бюджета;</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11) заключение о планировании управления муниципальным внутренним долгом.</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4.5. </w:t>
      </w:r>
      <w:r w:rsidR="00B47F9A">
        <w:rPr>
          <w:rFonts w:ascii="Times New Roman" w:hAnsi="Times New Roman"/>
          <w:sz w:val="28"/>
          <w:szCs w:val="28"/>
        </w:rPr>
        <w:t>В</w:t>
      </w:r>
      <w:r>
        <w:rPr>
          <w:rFonts w:ascii="Times New Roman" w:hAnsi="Times New Roman"/>
          <w:sz w:val="28"/>
          <w:szCs w:val="28"/>
        </w:rPr>
        <w:t>ыводы о возможности принятия проекта решения;</w:t>
      </w:r>
    </w:p>
    <w:p w:rsidR="00E10508" w:rsidRDefault="00E10508" w:rsidP="00E10508">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4.6. </w:t>
      </w:r>
      <w:r w:rsidR="00B47F9A">
        <w:rPr>
          <w:rFonts w:ascii="Times New Roman" w:hAnsi="Times New Roman"/>
          <w:sz w:val="28"/>
          <w:szCs w:val="28"/>
        </w:rPr>
        <w:t>П</w:t>
      </w:r>
      <w:r>
        <w:rPr>
          <w:rFonts w:ascii="Times New Roman" w:hAnsi="Times New Roman"/>
          <w:sz w:val="28"/>
          <w:szCs w:val="28"/>
        </w:rPr>
        <w:t>редложения по устранению выявленных несоответствий, противоречий и недостатков представленного проекта решения;</w:t>
      </w:r>
    </w:p>
    <w:p w:rsidR="00E10508" w:rsidRDefault="00E10508" w:rsidP="00E10508">
      <w:pPr>
        <w:spacing w:after="0" w:line="240" w:lineRule="auto"/>
        <w:rPr>
          <w:rFonts w:ascii="Times New Roman" w:hAnsi="Times New Roman"/>
          <w:sz w:val="28"/>
          <w:szCs w:val="28"/>
        </w:rPr>
      </w:pPr>
    </w:p>
    <w:p w:rsidR="00E10508" w:rsidRDefault="00E10508" w:rsidP="00E10508">
      <w:pPr>
        <w:rPr>
          <w:rFonts w:ascii="Times New Roman" w:hAnsi="Times New Roman"/>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ind w:firstLine="709"/>
        <w:jc w:val="both"/>
        <w:rPr>
          <w:sz w:val="28"/>
          <w:szCs w:val="28"/>
        </w:rPr>
      </w:pPr>
    </w:p>
    <w:p w:rsidR="00E10508" w:rsidRDefault="00E10508" w:rsidP="00E10508">
      <w:pPr>
        <w:pStyle w:val="a3"/>
        <w:widowControl w:val="0"/>
        <w:jc w:val="both"/>
        <w:rPr>
          <w:sz w:val="28"/>
          <w:szCs w:val="28"/>
        </w:rPr>
      </w:pPr>
    </w:p>
    <w:p w:rsidR="00E10508" w:rsidRDefault="00E10508" w:rsidP="00E10508">
      <w:pPr>
        <w:pStyle w:val="a3"/>
        <w:widowControl w:val="0"/>
        <w:ind w:firstLine="709"/>
        <w:jc w:val="both"/>
        <w:rPr>
          <w:sz w:val="28"/>
          <w:szCs w:val="28"/>
        </w:rPr>
      </w:pPr>
    </w:p>
    <w:p w:rsidR="008D09A1" w:rsidRDefault="008D09A1"/>
    <w:sectPr w:rsidR="008D09A1" w:rsidSect="007D7FE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7C" w:rsidRDefault="0017507C" w:rsidP="00E10508">
      <w:pPr>
        <w:spacing w:after="0" w:line="240" w:lineRule="auto"/>
      </w:pPr>
      <w:r>
        <w:separator/>
      </w:r>
    </w:p>
  </w:endnote>
  <w:endnote w:type="continuationSeparator" w:id="0">
    <w:p w:rsidR="0017507C" w:rsidRDefault="0017507C" w:rsidP="00E1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08" w:rsidRDefault="00E105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15089"/>
      <w:docPartObj>
        <w:docPartGallery w:val="Page Numbers (Bottom of Page)"/>
        <w:docPartUnique/>
      </w:docPartObj>
    </w:sdtPr>
    <w:sdtEndPr/>
    <w:sdtContent>
      <w:p w:rsidR="00E10508" w:rsidRDefault="00E10508">
        <w:pPr>
          <w:pStyle w:val="a8"/>
          <w:jc w:val="center"/>
        </w:pPr>
        <w:r>
          <w:fldChar w:fldCharType="begin"/>
        </w:r>
        <w:r>
          <w:instrText>PAGE   \* MERGEFORMAT</w:instrText>
        </w:r>
        <w:r>
          <w:fldChar w:fldCharType="separate"/>
        </w:r>
        <w:r w:rsidR="008D2832">
          <w:rPr>
            <w:noProof/>
          </w:rPr>
          <w:t>1</w:t>
        </w:r>
        <w:r>
          <w:fldChar w:fldCharType="end"/>
        </w:r>
      </w:p>
    </w:sdtContent>
  </w:sdt>
  <w:p w:rsidR="00E10508" w:rsidRDefault="00E105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08" w:rsidRDefault="00E105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7C" w:rsidRDefault="0017507C" w:rsidP="00E10508">
      <w:pPr>
        <w:spacing w:after="0" w:line="240" w:lineRule="auto"/>
      </w:pPr>
      <w:r>
        <w:separator/>
      </w:r>
    </w:p>
  </w:footnote>
  <w:footnote w:type="continuationSeparator" w:id="0">
    <w:p w:rsidR="0017507C" w:rsidRDefault="0017507C" w:rsidP="00E10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08" w:rsidRDefault="00E105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08" w:rsidRDefault="00E105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08" w:rsidRDefault="00E105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60"/>
    <w:multiLevelType w:val="hybridMultilevel"/>
    <w:tmpl w:val="C57EEBA6"/>
    <w:lvl w:ilvl="0" w:tplc="A54E21E4">
      <w:start w:val="1"/>
      <w:numFmt w:val="decimal"/>
      <w:lvlText w:val="%1."/>
      <w:lvlJc w:val="left"/>
      <w:pPr>
        <w:tabs>
          <w:tab w:val="num" w:pos="670"/>
        </w:tabs>
        <w:ind w:left="670" w:hanging="360"/>
      </w:pPr>
    </w:lvl>
    <w:lvl w:ilvl="1" w:tplc="04190019">
      <w:start w:val="1"/>
      <w:numFmt w:val="lowerLetter"/>
      <w:lvlText w:val="%2."/>
      <w:lvlJc w:val="left"/>
      <w:pPr>
        <w:tabs>
          <w:tab w:val="num" w:pos="1390"/>
        </w:tabs>
        <w:ind w:left="1390" w:hanging="360"/>
      </w:pPr>
    </w:lvl>
    <w:lvl w:ilvl="2" w:tplc="0419001B">
      <w:start w:val="1"/>
      <w:numFmt w:val="lowerRoman"/>
      <w:lvlText w:val="%3."/>
      <w:lvlJc w:val="right"/>
      <w:pPr>
        <w:tabs>
          <w:tab w:val="num" w:pos="2110"/>
        </w:tabs>
        <w:ind w:left="2110" w:hanging="180"/>
      </w:pPr>
    </w:lvl>
    <w:lvl w:ilvl="3" w:tplc="0419000F">
      <w:start w:val="1"/>
      <w:numFmt w:val="decimal"/>
      <w:lvlText w:val="%4."/>
      <w:lvlJc w:val="left"/>
      <w:pPr>
        <w:tabs>
          <w:tab w:val="num" w:pos="2830"/>
        </w:tabs>
        <w:ind w:left="2830" w:hanging="360"/>
      </w:pPr>
    </w:lvl>
    <w:lvl w:ilvl="4" w:tplc="04190019">
      <w:start w:val="1"/>
      <w:numFmt w:val="lowerLetter"/>
      <w:lvlText w:val="%5."/>
      <w:lvlJc w:val="left"/>
      <w:pPr>
        <w:tabs>
          <w:tab w:val="num" w:pos="3550"/>
        </w:tabs>
        <w:ind w:left="3550" w:hanging="360"/>
      </w:pPr>
    </w:lvl>
    <w:lvl w:ilvl="5" w:tplc="0419001B">
      <w:start w:val="1"/>
      <w:numFmt w:val="lowerRoman"/>
      <w:lvlText w:val="%6."/>
      <w:lvlJc w:val="right"/>
      <w:pPr>
        <w:tabs>
          <w:tab w:val="num" w:pos="4270"/>
        </w:tabs>
        <w:ind w:left="4270" w:hanging="180"/>
      </w:pPr>
    </w:lvl>
    <w:lvl w:ilvl="6" w:tplc="0419000F">
      <w:start w:val="1"/>
      <w:numFmt w:val="decimal"/>
      <w:lvlText w:val="%7."/>
      <w:lvlJc w:val="left"/>
      <w:pPr>
        <w:tabs>
          <w:tab w:val="num" w:pos="4990"/>
        </w:tabs>
        <w:ind w:left="4990" w:hanging="360"/>
      </w:pPr>
    </w:lvl>
    <w:lvl w:ilvl="7" w:tplc="04190019">
      <w:start w:val="1"/>
      <w:numFmt w:val="lowerLetter"/>
      <w:lvlText w:val="%8."/>
      <w:lvlJc w:val="left"/>
      <w:pPr>
        <w:tabs>
          <w:tab w:val="num" w:pos="5710"/>
        </w:tabs>
        <w:ind w:left="5710" w:hanging="360"/>
      </w:pPr>
    </w:lvl>
    <w:lvl w:ilvl="8" w:tplc="0419001B">
      <w:start w:val="1"/>
      <w:numFmt w:val="lowerRoman"/>
      <w:lvlText w:val="%9."/>
      <w:lvlJc w:val="right"/>
      <w:pPr>
        <w:tabs>
          <w:tab w:val="num" w:pos="6430"/>
        </w:tabs>
        <w:ind w:left="6430" w:hanging="180"/>
      </w:pPr>
    </w:lvl>
  </w:abstractNum>
  <w:abstractNum w:abstractNumId="1">
    <w:nsid w:val="04DC21FB"/>
    <w:multiLevelType w:val="hybridMultilevel"/>
    <w:tmpl w:val="990E3D0A"/>
    <w:lvl w:ilvl="0" w:tplc="3D786F2E">
      <w:start w:val="4"/>
      <w:numFmt w:val="decimal"/>
      <w:lvlText w:val="%1."/>
      <w:lvlJc w:val="left"/>
      <w:pPr>
        <w:tabs>
          <w:tab w:val="num" w:pos="670"/>
        </w:tabs>
        <w:ind w:left="6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291983"/>
    <w:multiLevelType w:val="hybridMultilevel"/>
    <w:tmpl w:val="EE249CE0"/>
    <w:lvl w:ilvl="0" w:tplc="A3963C92">
      <w:start w:val="3"/>
      <w:numFmt w:val="decimal"/>
      <w:lvlText w:val="%1."/>
      <w:lvlJc w:val="left"/>
      <w:pPr>
        <w:tabs>
          <w:tab w:val="num" w:pos="670"/>
        </w:tabs>
        <w:ind w:left="6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FD1DF1"/>
    <w:multiLevelType w:val="hybridMultilevel"/>
    <w:tmpl w:val="D848D474"/>
    <w:lvl w:ilvl="0" w:tplc="DC52CA12">
      <w:start w:val="1"/>
      <w:numFmt w:val="decimal"/>
      <w:lvlText w:val="%1."/>
      <w:lvlJc w:val="left"/>
      <w:pPr>
        <w:tabs>
          <w:tab w:val="num" w:pos="670"/>
        </w:tabs>
        <w:ind w:left="670" w:hanging="360"/>
      </w:pPr>
    </w:lvl>
    <w:lvl w:ilvl="1" w:tplc="04190019">
      <w:start w:val="1"/>
      <w:numFmt w:val="lowerLetter"/>
      <w:lvlText w:val="%2."/>
      <w:lvlJc w:val="left"/>
      <w:pPr>
        <w:tabs>
          <w:tab w:val="num" w:pos="1390"/>
        </w:tabs>
        <w:ind w:left="1390" w:hanging="360"/>
      </w:pPr>
    </w:lvl>
    <w:lvl w:ilvl="2" w:tplc="0419001B">
      <w:start w:val="1"/>
      <w:numFmt w:val="lowerRoman"/>
      <w:lvlText w:val="%3."/>
      <w:lvlJc w:val="right"/>
      <w:pPr>
        <w:tabs>
          <w:tab w:val="num" w:pos="2110"/>
        </w:tabs>
        <w:ind w:left="2110" w:hanging="180"/>
      </w:pPr>
    </w:lvl>
    <w:lvl w:ilvl="3" w:tplc="0419000F">
      <w:start w:val="1"/>
      <w:numFmt w:val="decimal"/>
      <w:lvlText w:val="%4."/>
      <w:lvlJc w:val="left"/>
      <w:pPr>
        <w:tabs>
          <w:tab w:val="num" w:pos="2830"/>
        </w:tabs>
        <w:ind w:left="2830" w:hanging="360"/>
      </w:pPr>
    </w:lvl>
    <w:lvl w:ilvl="4" w:tplc="04190019">
      <w:start w:val="1"/>
      <w:numFmt w:val="lowerLetter"/>
      <w:lvlText w:val="%5."/>
      <w:lvlJc w:val="left"/>
      <w:pPr>
        <w:tabs>
          <w:tab w:val="num" w:pos="3550"/>
        </w:tabs>
        <w:ind w:left="3550" w:hanging="360"/>
      </w:pPr>
    </w:lvl>
    <w:lvl w:ilvl="5" w:tplc="0419001B">
      <w:start w:val="1"/>
      <w:numFmt w:val="lowerRoman"/>
      <w:lvlText w:val="%6."/>
      <w:lvlJc w:val="right"/>
      <w:pPr>
        <w:tabs>
          <w:tab w:val="num" w:pos="4270"/>
        </w:tabs>
        <w:ind w:left="4270" w:hanging="180"/>
      </w:pPr>
    </w:lvl>
    <w:lvl w:ilvl="6" w:tplc="0419000F">
      <w:start w:val="1"/>
      <w:numFmt w:val="decimal"/>
      <w:lvlText w:val="%7."/>
      <w:lvlJc w:val="left"/>
      <w:pPr>
        <w:tabs>
          <w:tab w:val="num" w:pos="4990"/>
        </w:tabs>
        <w:ind w:left="4990" w:hanging="360"/>
      </w:pPr>
    </w:lvl>
    <w:lvl w:ilvl="7" w:tplc="04190019">
      <w:start w:val="1"/>
      <w:numFmt w:val="lowerLetter"/>
      <w:lvlText w:val="%8."/>
      <w:lvlJc w:val="left"/>
      <w:pPr>
        <w:tabs>
          <w:tab w:val="num" w:pos="5710"/>
        </w:tabs>
        <w:ind w:left="5710" w:hanging="360"/>
      </w:pPr>
    </w:lvl>
    <w:lvl w:ilvl="8" w:tplc="0419001B">
      <w:start w:val="1"/>
      <w:numFmt w:val="lowerRoman"/>
      <w:lvlText w:val="%9."/>
      <w:lvlJc w:val="right"/>
      <w:pPr>
        <w:tabs>
          <w:tab w:val="num" w:pos="6430"/>
        </w:tabs>
        <w:ind w:left="6430" w:hanging="180"/>
      </w:pPr>
    </w:lvl>
  </w:abstractNum>
  <w:abstractNum w:abstractNumId="4">
    <w:nsid w:val="393C6EA1"/>
    <w:multiLevelType w:val="hybridMultilevel"/>
    <w:tmpl w:val="058641B8"/>
    <w:lvl w:ilvl="0" w:tplc="BA50038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41EB215E"/>
    <w:multiLevelType w:val="hybridMultilevel"/>
    <w:tmpl w:val="2CA2A030"/>
    <w:lvl w:ilvl="0" w:tplc="00C0309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B5DC580C">
      <w:start w:val="8"/>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4FC73B62"/>
    <w:multiLevelType w:val="hybridMultilevel"/>
    <w:tmpl w:val="9B405F72"/>
    <w:lvl w:ilvl="0" w:tplc="98905C50">
      <w:start w:val="7"/>
      <w:numFmt w:val="decimal"/>
      <w:lvlText w:val="%1."/>
      <w:lvlJc w:val="left"/>
      <w:pPr>
        <w:tabs>
          <w:tab w:val="num" w:pos="1068"/>
        </w:tabs>
        <w:ind w:left="1068" w:hanging="360"/>
      </w:pPr>
    </w:lvl>
    <w:lvl w:ilvl="1" w:tplc="04190019">
      <w:start w:val="1"/>
      <w:numFmt w:val="lowerLetter"/>
      <w:lvlText w:val="%2."/>
      <w:lvlJc w:val="left"/>
      <w:pPr>
        <w:tabs>
          <w:tab w:val="num" w:pos="1838"/>
        </w:tabs>
        <w:ind w:left="1838" w:hanging="360"/>
      </w:pPr>
    </w:lvl>
    <w:lvl w:ilvl="2" w:tplc="0419001B">
      <w:start w:val="1"/>
      <w:numFmt w:val="lowerRoman"/>
      <w:lvlText w:val="%3."/>
      <w:lvlJc w:val="right"/>
      <w:pPr>
        <w:tabs>
          <w:tab w:val="num" w:pos="2558"/>
        </w:tabs>
        <w:ind w:left="2558" w:hanging="180"/>
      </w:pPr>
    </w:lvl>
    <w:lvl w:ilvl="3" w:tplc="0419000F">
      <w:start w:val="1"/>
      <w:numFmt w:val="decimal"/>
      <w:lvlText w:val="%4."/>
      <w:lvlJc w:val="left"/>
      <w:pPr>
        <w:tabs>
          <w:tab w:val="num" w:pos="3278"/>
        </w:tabs>
        <w:ind w:left="3278" w:hanging="360"/>
      </w:pPr>
    </w:lvl>
    <w:lvl w:ilvl="4" w:tplc="04190019">
      <w:start w:val="1"/>
      <w:numFmt w:val="lowerLetter"/>
      <w:lvlText w:val="%5."/>
      <w:lvlJc w:val="left"/>
      <w:pPr>
        <w:tabs>
          <w:tab w:val="num" w:pos="3998"/>
        </w:tabs>
        <w:ind w:left="3998" w:hanging="360"/>
      </w:pPr>
    </w:lvl>
    <w:lvl w:ilvl="5" w:tplc="0419001B">
      <w:start w:val="1"/>
      <w:numFmt w:val="lowerRoman"/>
      <w:lvlText w:val="%6."/>
      <w:lvlJc w:val="right"/>
      <w:pPr>
        <w:tabs>
          <w:tab w:val="num" w:pos="4718"/>
        </w:tabs>
        <w:ind w:left="4718" w:hanging="180"/>
      </w:pPr>
    </w:lvl>
    <w:lvl w:ilvl="6" w:tplc="0419000F">
      <w:start w:val="1"/>
      <w:numFmt w:val="decimal"/>
      <w:lvlText w:val="%7."/>
      <w:lvlJc w:val="left"/>
      <w:pPr>
        <w:tabs>
          <w:tab w:val="num" w:pos="5438"/>
        </w:tabs>
        <w:ind w:left="5438" w:hanging="360"/>
      </w:pPr>
    </w:lvl>
    <w:lvl w:ilvl="7" w:tplc="04190019">
      <w:start w:val="1"/>
      <w:numFmt w:val="lowerLetter"/>
      <w:lvlText w:val="%8."/>
      <w:lvlJc w:val="left"/>
      <w:pPr>
        <w:tabs>
          <w:tab w:val="num" w:pos="6158"/>
        </w:tabs>
        <w:ind w:left="6158" w:hanging="360"/>
      </w:pPr>
    </w:lvl>
    <w:lvl w:ilvl="8" w:tplc="0419001B">
      <w:start w:val="1"/>
      <w:numFmt w:val="lowerRoman"/>
      <w:lvlText w:val="%9."/>
      <w:lvlJc w:val="right"/>
      <w:pPr>
        <w:tabs>
          <w:tab w:val="num" w:pos="6878"/>
        </w:tabs>
        <w:ind w:left="6878" w:hanging="180"/>
      </w:pPr>
    </w:lvl>
  </w:abstractNum>
  <w:abstractNum w:abstractNumId="7">
    <w:nsid w:val="63DF205A"/>
    <w:multiLevelType w:val="hybridMultilevel"/>
    <w:tmpl w:val="90CA293C"/>
    <w:lvl w:ilvl="0" w:tplc="759C778A">
      <w:start w:val="5"/>
      <w:numFmt w:val="decimal"/>
      <w:lvlText w:val="%1."/>
      <w:lvlJc w:val="left"/>
      <w:pPr>
        <w:tabs>
          <w:tab w:val="num" w:pos="900"/>
        </w:tabs>
        <w:ind w:left="90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67310FE0"/>
    <w:multiLevelType w:val="hybridMultilevel"/>
    <w:tmpl w:val="5140855E"/>
    <w:lvl w:ilvl="0" w:tplc="E0D4BFB4">
      <w:start w:val="9"/>
      <w:numFmt w:val="decimal"/>
      <w:lvlText w:val="%1."/>
      <w:lvlJc w:val="left"/>
      <w:pPr>
        <w:tabs>
          <w:tab w:val="num" w:pos="1068"/>
        </w:tabs>
        <w:ind w:left="1068" w:hanging="360"/>
      </w:pPr>
    </w:lvl>
    <w:lvl w:ilvl="1" w:tplc="04190019">
      <w:start w:val="1"/>
      <w:numFmt w:val="lowerLetter"/>
      <w:lvlText w:val="%2."/>
      <w:lvlJc w:val="left"/>
      <w:pPr>
        <w:tabs>
          <w:tab w:val="num" w:pos="1838"/>
        </w:tabs>
        <w:ind w:left="1838" w:hanging="360"/>
      </w:pPr>
    </w:lvl>
    <w:lvl w:ilvl="2" w:tplc="0419001B">
      <w:start w:val="1"/>
      <w:numFmt w:val="lowerRoman"/>
      <w:lvlText w:val="%3."/>
      <w:lvlJc w:val="right"/>
      <w:pPr>
        <w:tabs>
          <w:tab w:val="num" w:pos="2558"/>
        </w:tabs>
        <w:ind w:left="2558" w:hanging="180"/>
      </w:pPr>
    </w:lvl>
    <w:lvl w:ilvl="3" w:tplc="0419000F">
      <w:start w:val="1"/>
      <w:numFmt w:val="decimal"/>
      <w:lvlText w:val="%4."/>
      <w:lvlJc w:val="left"/>
      <w:pPr>
        <w:tabs>
          <w:tab w:val="num" w:pos="3278"/>
        </w:tabs>
        <w:ind w:left="3278" w:hanging="360"/>
      </w:pPr>
    </w:lvl>
    <w:lvl w:ilvl="4" w:tplc="04190019">
      <w:start w:val="1"/>
      <w:numFmt w:val="lowerLetter"/>
      <w:lvlText w:val="%5."/>
      <w:lvlJc w:val="left"/>
      <w:pPr>
        <w:tabs>
          <w:tab w:val="num" w:pos="3998"/>
        </w:tabs>
        <w:ind w:left="3998" w:hanging="360"/>
      </w:pPr>
    </w:lvl>
    <w:lvl w:ilvl="5" w:tplc="0419001B">
      <w:start w:val="1"/>
      <w:numFmt w:val="lowerRoman"/>
      <w:lvlText w:val="%6."/>
      <w:lvlJc w:val="right"/>
      <w:pPr>
        <w:tabs>
          <w:tab w:val="num" w:pos="4718"/>
        </w:tabs>
        <w:ind w:left="4718" w:hanging="180"/>
      </w:pPr>
    </w:lvl>
    <w:lvl w:ilvl="6" w:tplc="0419000F">
      <w:start w:val="1"/>
      <w:numFmt w:val="decimal"/>
      <w:lvlText w:val="%7."/>
      <w:lvlJc w:val="left"/>
      <w:pPr>
        <w:tabs>
          <w:tab w:val="num" w:pos="5438"/>
        </w:tabs>
        <w:ind w:left="5438" w:hanging="360"/>
      </w:pPr>
    </w:lvl>
    <w:lvl w:ilvl="7" w:tplc="04190019">
      <w:start w:val="1"/>
      <w:numFmt w:val="lowerLetter"/>
      <w:lvlText w:val="%8."/>
      <w:lvlJc w:val="left"/>
      <w:pPr>
        <w:tabs>
          <w:tab w:val="num" w:pos="6158"/>
        </w:tabs>
        <w:ind w:left="6158" w:hanging="360"/>
      </w:pPr>
    </w:lvl>
    <w:lvl w:ilvl="8" w:tplc="0419001B">
      <w:start w:val="1"/>
      <w:numFmt w:val="lowerRoman"/>
      <w:lvlText w:val="%9."/>
      <w:lvlJc w:val="right"/>
      <w:pPr>
        <w:tabs>
          <w:tab w:val="num" w:pos="6878"/>
        </w:tabs>
        <w:ind w:left="6878" w:hanging="180"/>
      </w:pPr>
    </w:lvl>
  </w:abstractNum>
  <w:abstractNum w:abstractNumId="9">
    <w:nsid w:val="708914F1"/>
    <w:multiLevelType w:val="hybridMultilevel"/>
    <w:tmpl w:val="C61801CA"/>
    <w:lvl w:ilvl="0" w:tplc="E47C066A">
      <w:start w:val="1"/>
      <w:numFmt w:val="decimal"/>
      <w:lvlText w:val="%1)"/>
      <w:lvlJc w:val="left"/>
      <w:pPr>
        <w:tabs>
          <w:tab w:val="num" w:pos="360"/>
        </w:tabs>
        <w:ind w:left="360" w:hanging="360"/>
      </w:pPr>
      <w:rPr>
        <w:rFonts w:ascii="Times New Roman" w:eastAsia="Times New Roman" w:hAnsi="Times New Roman" w:cs="Times New Roman"/>
      </w:rPr>
    </w:lvl>
    <w:lvl w:ilvl="1" w:tplc="EF2CFC7E">
      <w:numFmt w:val="bullet"/>
      <w:lvlText w:val="-"/>
      <w:lvlJc w:val="left"/>
      <w:pPr>
        <w:tabs>
          <w:tab w:val="num" w:pos="1635"/>
        </w:tabs>
        <w:ind w:left="1635" w:hanging="915"/>
      </w:pPr>
      <w:rPr>
        <w:rFonts w:ascii="Times New Roman" w:eastAsia="Times New Roman" w:hAnsi="Times New Roman" w:cs="Times New Roman" w:hint="default"/>
      </w:rPr>
    </w:lvl>
    <w:lvl w:ilvl="2" w:tplc="2B884F60">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74F7779F"/>
    <w:multiLevelType w:val="hybridMultilevel"/>
    <w:tmpl w:val="E286E048"/>
    <w:lvl w:ilvl="0" w:tplc="41EED64C">
      <w:start w:val="8"/>
      <w:numFmt w:val="decimal"/>
      <w:lvlText w:val="%1."/>
      <w:lvlJc w:val="left"/>
      <w:pPr>
        <w:tabs>
          <w:tab w:val="num" w:pos="1068"/>
        </w:tabs>
        <w:ind w:left="1068" w:hanging="360"/>
      </w:pPr>
    </w:lvl>
    <w:lvl w:ilvl="1" w:tplc="04190019">
      <w:start w:val="1"/>
      <w:numFmt w:val="lowerLetter"/>
      <w:lvlText w:val="%2."/>
      <w:lvlJc w:val="left"/>
      <w:pPr>
        <w:tabs>
          <w:tab w:val="num" w:pos="1838"/>
        </w:tabs>
        <w:ind w:left="1838" w:hanging="360"/>
      </w:pPr>
    </w:lvl>
    <w:lvl w:ilvl="2" w:tplc="0419001B">
      <w:start w:val="1"/>
      <w:numFmt w:val="lowerRoman"/>
      <w:lvlText w:val="%3."/>
      <w:lvlJc w:val="right"/>
      <w:pPr>
        <w:tabs>
          <w:tab w:val="num" w:pos="2558"/>
        </w:tabs>
        <w:ind w:left="2558" w:hanging="180"/>
      </w:pPr>
    </w:lvl>
    <w:lvl w:ilvl="3" w:tplc="0419000F">
      <w:start w:val="1"/>
      <w:numFmt w:val="decimal"/>
      <w:lvlText w:val="%4."/>
      <w:lvlJc w:val="left"/>
      <w:pPr>
        <w:tabs>
          <w:tab w:val="num" w:pos="3278"/>
        </w:tabs>
        <w:ind w:left="3278" w:hanging="360"/>
      </w:pPr>
    </w:lvl>
    <w:lvl w:ilvl="4" w:tplc="04190019">
      <w:start w:val="1"/>
      <w:numFmt w:val="lowerLetter"/>
      <w:lvlText w:val="%5."/>
      <w:lvlJc w:val="left"/>
      <w:pPr>
        <w:tabs>
          <w:tab w:val="num" w:pos="3998"/>
        </w:tabs>
        <w:ind w:left="3998" w:hanging="360"/>
      </w:pPr>
    </w:lvl>
    <w:lvl w:ilvl="5" w:tplc="0419001B">
      <w:start w:val="1"/>
      <w:numFmt w:val="lowerRoman"/>
      <w:lvlText w:val="%6."/>
      <w:lvlJc w:val="right"/>
      <w:pPr>
        <w:tabs>
          <w:tab w:val="num" w:pos="4718"/>
        </w:tabs>
        <w:ind w:left="4718" w:hanging="180"/>
      </w:pPr>
    </w:lvl>
    <w:lvl w:ilvl="6" w:tplc="0419000F">
      <w:start w:val="1"/>
      <w:numFmt w:val="decimal"/>
      <w:lvlText w:val="%7."/>
      <w:lvlJc w:val="left"/>
      <w:pPr>
        <w:tabs>
          <w:tab w:val="num" w:pos="5438"/>
        </w:tabs>
        <w:ind w:left="5438" w:hanging="360"/>
      </w:pPr>
    </w:lvl>
    <w:lvl w:ilvl="7" w:tplc="04190019">
      <w:start w:val="1"/>
      <w:numFmt w:val="lowerLetter"/>
      <w:lvlText w:val="%8."/>
      <w:lvlJc w:val="left"/>
      <w:pPr>
        <w:tabs>
          <w:tab w:val="num" w:pos="6158"/>
        </w:tabs>
        <w:ind w:left="6158" w:hanging="360"/>
      </w:pPr>
    </w:lvl>
    <w:lvl w:ilvl="8" w:tplc="0419001B">
      <w:start w:val="1"/>
      <w:numFmt w:val="lowerRoman"/>
      <w:lvlText w:val="%9."/>
      <w:lvlJc w:val="right"/>
      <w:pPr>
        <w:tabs>
          <w:tab w:val="num" w:pos="6878"/>
        </w:tabs>
        <w:ind w:left="6878" w:hanging="180"/>
      </w:pPr>
    </w:lvl>
  </w:abstractNum>
  <w:abstractNum w:abstractNumId="11">
    <w:nsid w:val="75230D41"/>
    <w:multiLevelType w:val="hybridMultilevel"/>
    <w:tmpl w:val="3288EA4A"/>
    <w:lvl w:ilvl="0" w:tplc="F056DD3C">
      <w:start w:val="6"/>
      <w:numFmt w:val="decimal"/>
      <w:lvlText w:val="%1."/>
      <w:lvlJc w:val="left"/>
      <w:pPr>
        <w:tabs>
          <w:tab w:val="num" w:pos="1068"/>
        </w:tabs>
        <w:ind w:left="106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D"/>
    <w:rsid w:val="00051D1F"/>
    <w:rsid w:val="000D516E"/>
    <w:rsid w:val="0017507C"/>
    <w:rsid w:val="001E72E4"/>
    <w:rsid w:val="002136C2"/>
    <w:rsid w:val="00222D4E"/>
    <w:rsid w:val="00292874"/>
    <w:rsid w:val="00340D28"/>
    <w:rsid w:val="00381CDD"/>
    <w:rsid w:val="00385081"/>
    <w:rsid w:val="004D2792"/>
    <w:rsid w:val="00646B8C"/>
    <w:rsid w:val="006B4823"/>
    <w:rsid w:val="006D4392"/>
    <w:rsid w:val="007A0AAD"/>
    <w:rsid w:val="007D7FE4"/>
    <w:rsid w:val="008D09A1"/>
    <w:rsid w:val="008D2832"/>
    <w:rsid w:val="008E1BDC"/>
    <w:rsid w:val="00944CD2"/>
    <w:rsid w:val="00986CD7"/>
    <w:rsid w:val="009A3790"/>
    <w:rsid w:val="00A1669A"/>
    <w:rsid w:val="00B47F9A"/>
    <w:rsid w:val="00C47F03"/>
    <w:rsid w:val="00D86A77"/>
    <w:rsid w:val="00E10508"/>
    <w:rsid w:val="00E23E2E"/>
    <w:rsid w:val="00FC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10508"/>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E1050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E1050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E10508"/>
    <w:rPr>
      <w:rFonts w:ascii="Times New Roman" w:eastAsia="Times New Roman" w:hAnsi="Times New Roman" w:cs="Times New Roman"/>
      <w:sz w:val="24"/>
      <w:szCs w:val="24"/>
      <w:lang w:eastAsia="ru-RU"/>
    </w:rPr>
  </w:style>
  <w:style w:type="character" w:customStyle="1" w:styleId="a5">
    <w:name w:val="Гипертекстовая ссылка"/>
    <w:rsid w:val="00E10508"/>
    <w:rPr>
      <w:color w:val="008000"/>
    </w:rPr>
  </w:style>
  <w:style w:type="paragraph" w:styleId="a6">
    <w:name w:val="header"/>
    <w:basedOn w:val="a"/>
    <w:link w:val="a7"/>
    <w:uiPriority w:val="99"/>
    <w:unhideWhenUsed/>
    <w:rsid w:val="00E105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508"/>
    <w:rPr>
      <w:rFonts w:ascii="Calibri" w:eastAsia="Times New Roman" w:hAnsi="Calibri" w:cs="Times New Roman"/>
      <w:lang w:eastAsia="ru-RU"/>
    </w:rPr>
  </w:style>
  <w:style w:type="paragraph" w:styleId="a8">
    <w:name w:val="footer"/>
    <w:basedOn w:val="a"/>
    <w:link w:val="a9"/>
    <w:uiPriority w:val="99"/>
    <w:unhideWhenUsed/>
    <w:rsid w:val="00E105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508"/>
    <w:rPr>
      <w:rFonts w:ascii="Calibri" w:eastAsia="Times New Roman" w:hAnsi="Calibri" w:cs="Times New Roman"/>
      <w:lang w:eastAsia="ru-RU"/>
    </w:rPr>
  </w:style>
  <w:style w:type="character" w:styleId="aa">
    <w:name w:val="Hyperlink"/>
    <w:basedOn w:val="a0"/>
    <w:uiPriority w:val="99"/>
    <w:semiHidden/>
    <w:unhideWhenUsed/>
    <w:rsid w:val="002136C2"/>
    <w:rPr>
      <w:color w:val="0000FF"/>
      <w:u w:val="single"/>
    </w:rPr>
  </w:style>
  <w:style w:type="paragraph" w:customStyle="1" w:styleId="s1">
    <w:name w:val="s_1"/>
    <w:basedOn w:val="a"/>
    <w:rsid w:val="002136C2"/>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rsid w:val="00FC2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10508"/>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E1050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E1050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E10508"/>
    <w:rPr>
      <w:rFonts w:ascii="Times New Roman" w:eastAsia="Times New Roman" w:hAnsi="Times New Roman" w:cs="Times New Roman"/>
      <w:sz w:val="24"/>
      <w:szCs w:val="24"/>
      <w:lang w:eastAsia="ru-RU"/>
    </w:rPr>
  </w:style>
  <w:style w:type="character" w:customStyle="1" w:styleId="a5">
    <w:name w:val="Гипертекстовая ссылка"/>
    <w:rsid w:val="00E10508"/>
    <w:rPr>
      <w:color w:val="008000"/>
    </w:rPr>
  </w:style>
  <w:style w:type="paragraph" w:styleId="a6">
    <w:name w:val="header"/>
    <w:basedOn w:val="a"/>
    <w:link w:val="a7"/>
    <w:uiPriority w:val="99"/>
    <w:unhideWhenUsed/>
    <w:rsid w:val="00E105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508"/>
    <w:rPr>
      <w:rFonts w:ascii="Calibri" w:eastAsia="Times New Roman" w:hAnsi="Calibri" w:cs="Times New Roman"/>
      <w:lang w:eastAsia="ru-RU"/>
    </w:rPr>
  </w:style>
  <w:style w:type="paragraph" w:styleId="a8">
    <w:name w:val="footer"/>
    <w:basedOn w:val="a"/>
    <w:link w:val="a9"/>
    <w:uiPriority w:val="99"/>
    <w:unhideWhenUsed/>
    <w:rsid w:val="00E105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508"/>
    <w:rPr>
      <w:rFonts w:ascii="Calibri" w:eastAsia="Times New Roman" w:hAnsi="Calibri" w:cs="Times New Roman"/>
      <w:lang w:eastAsia="ru-RU"/>
    </w:rPr>
  </w:style>
  <w:style w:type="character" w:styleId="aa">
    <w:name w:val="Hyperlink"/>
    <w:basedOn w:val="a0"/>
    <w:uiPriority w:val="99"/>
    <w:semiHidden/>
    <w:unhideWhenUsed/>
    <w:rsid w:val="002136C2"/>
    <w:rPr>
      <w:color w:val="0000FF"/>
      <w:u w:val="single"/>
    </w:rPr>
  </w:style>
  <w:style w:type="paragraph" w:customStyle="1" w:styleId="s1">
    <w:name w:val="s_1"/>
    <w:basedOn w:val="a"/>
    <w:rsid w:val="002136C2"/>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rsid w:val="00FC2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7313">
      <w:bodyDiv w:val="1"/>
      <w:marLeft w:val="0"/>
      <w:marRight w:val="0"/>
      <w:marTop w:val="0"/>
      <w:marBottom w:val="0"/>
      <w:divBdr>
        <w:top w:val="none" w:sz="0" w:space="0" w:color="auto"/>
        <w:left w:val="none" w:sz="0" w:space="0" w:color="auto"/>
        <w:bottom w:val="none" w:sz="0" w:space="0" w:color="auto"/>
        <w:right w:val="none" w:sz="0" w:space="0" w:color="auto"/>
      </w:divBdr>
    </w:div>
    <w:div w:id="1986546911">
      <w:bodyDiv w:val="1"/>
      <w:marLeft w:val="0"/>
      <w:marRight w:val="0"/>
      <w:marTop w:val="0"/>
      <w:marBottom w:val="0"/>
      <w:divBdr>
        <w:top w:val="none" w:sz="0" w:space="0" w:color="auto"/>
        <w:left w:val="none" w:sz="0" w:space="0" w:color="auto"/>
        <w:bottom w:val="none" w:sz="0" w:space="0" w:color="auto"/>
        <w:right w:val="none" w:sz="0" w:space="0" w:color="auto"/>
      </w:divBdr>
      <w:divsChild>
        <w:div w:id="1991058968">
          <w:marLeft w:val="0"/>
          <w:marRight w:val="0"/>
          <w:marTop w:val="0"/>
          <w:marBottom w:val="0"/>
          <w:divBdr>
            <w:top w:val="none" w:sz="0" w:space="0" w:color="auto"/>
            <w:left w:val="none" w:sz="0" w:space="0" w:color="auto"/>
            <w:bottom w:val="none" w:sz="0" w:space="0" w:color="auto"/>
            <w:right w:val="none" w:sz="0" w:space="0" w:color="auto"/>
          </w:divBdr>
          <w:divsChild>
            <w:div w:id="1544754447">
              <w:marLeft w:val="0"/>
              <w:marRight w:val="0"/>
              <w:marTop w:val="0"/>
              <w:marBottom w:val="0"/>
              <w:divBdr>
                <w:top w:val="none" w:sz="0" w:space="0" w:color="auto"/>
                <w:left w:val="none" w:sz="0" w:space="0" w:color="auto"/>
                <w:bottom w:val="none" w:sz="0" w:space="0" w:color="auto"/>
                <w:right w:val="none" w:sz="0" w:space="0" w:color="auto"/>
              </w:divBdr>
              <w:divsChild>
                <w:div w:id="1605722965">
                  <w:marLeft w:val="0"/>
                  <w:marRight w:val="0"/>
                  <w:marTop w:val="0"/>
                  <w:marBottom w:val="0"/>
                  <w:divBdr>
                    <w:top w:val="none" w:sz="0" w:space="0" w:color="auto"/>
                    <w:left w:val="none" w:sz="0" w:space="0" w:color="auto"/>
                    <w:bottom w:val="none" w:sz="0" w:space="0" w:color="auto"/>
                    <w:right w:val="none" w:sz="0" w:space="0" w:color="auto"/>
                  </w:divBdr>
                  <w:divsChild>
                    <w:div w:id="190344215">
                      <w:marLeft w:val="0"/>
                      <w:marRight w:val="0"/>
                      <w:marTop w:val="0"/>
                      <w:marBottom w:val="0"/>
                      <w:divBdr>
                        <w:top w:val="none" w:sz="0" w:space="0" w:color="auto"/>
                        <w:left w:val="none" w:sz="0" w:space="0" w:color="auto"/>
                        <w:bottom w:val="none" w:sz="0" w:space="0" w:color="auto"/>
                        <w:right w:val="none" w:sz="0" w:space="0" w:color="auto"/>
                      </w:divBdr>
                      <w:divsChild>
                        <w:div w:id="408505029">
                          <w:marLeft w:val="0"/>
                          <w:marRight w:val="0"/>
                          <w:marTop w:val="0"/>
                          <w:marBottom w:val="0"/>
                          <w:divBdr>
                            <w:top w:val="none" w:sz="0" w:space="0" w:color="auto"/>
                            <w:left w:val="none" w:sz="0" w:space="0" w:color="auto"/>
                            <w:bottom w:val="none" w:sz="0" w:space="0" w:color="auto"/>
                            <w:right w:val="none" w:sz="0" w:space="0" w:color="auto"/>
                          </w:divBdr>
                          <w:divsChild>
                            <w:div w:id="194735656">
                              <w:marLeft w:val="0"/>
                              <w:marRight w:val="0"/>
                              <w:marTop w:val="0"/>
                              <w:marBottom w:val="0"/>
                              <w:divBdr>
                                <w:top w:val="none" w:sz="0" w:space="0" w:color="auto"/>
                                <w:left w:val="none" w:sz="0" w:space="0" w:color="auto"/>
                                <w:bottom w:val="none" w:sz="0" w:space="0" w:color="auto"/>
                                <w:right w:val="none" w:sz="0" w:space="0" w:color="auto"/>
                              </w:divBdr>
                              <w:divsChild>
                                <w:div w:id="123811270">
                                  <w:marLeft w:val="0"/>
                                  <w:marRight w:val="0"/>
                                  <w:marTop w:val="0"/>
                                  <w:marBottom w:val="0"/>
                                  <w:divBdr>
                                    <w:top w:val="none" w:sz="0" w:space="0" w:color="auto"/>
                                    <w:left w:val="none" w:sz="0" w:space="0" w:color="auto"/>
                                    <w:bottom w:val="none" w:sz="0" w:space="0" w:color="auto"/>
                                    <w:right w:val="none" w:sz="0" w:space="0" w:color="auto"/>
                                  </w:divBdr>
                                  <w:divsChild>
                                    <w:div w:id="1514682529">
                                      <w:marLeft w:val="0"/>
                                      <w:marRight w:val="0"/>
                                      <w:marTop w:val="0"/>
                                      <w:marBottom w:val="0"/>
                                      <w:divBdr>
                                        <w:top w:val="none" w:sz="0" w:space="0" w:color="auto"/>
                                        <w:left w:val="none" w:sz="0" w:space="0" w:color="auto"/>
                                        <w:bottom w:val="none" w:sz="0" w:space="0" w:color="auto"/>
                                        <w:right w:val="none" w:sz="0" w:space="0" w:color="auto"/>
                                      </w:divBdr>
                                      <w:divsChild>
                                        <w:div w:id="1547445763">
                                          <w:marLeft w:val="0"/>
                                          <w:marRight w:val="0"/>
                                          <w:marTop w:val="0"/>
                                          <w:marBottom w:val="0"/>
                                          <w:divBdr>
                                            <w:top w:val="none" w:sz="0" w:space="0" w:color="auto"/>
                                            <w:left w:val="none" w:sz="0" w:space="0" w:color="auto"/>
                                            <w:bottom w:val="none" w:sz="0" w:space="0" w:color="auto"/>
                                            <w:right w:val="none" w:sz="0" w:space="0" w:color="auto"/>
                                          </w:divBdr>
                                          <w:divsChild>
                                            <w:div w:id="1665624404">
                                              <w:marLeft w:val="0"/>
                                              <w:marRight w:val="0"/>
                                              <w:marTop w:val="0"/>
                                              <w:marBottom w:val="0"/>
                                              <w:divBdr>
                                                <w:top w:val="none" w:sz="0" w:space="0" w:color="auto"/>
                                                <w:left w:val="none" w:sz="0" w:space="0" w:color="auto"/>
                                                <w:bottom w:val="none" w:sz="0" w:space="0" w:color="auto"/>
                                                <w:right w:val="none" w:sz="0" w:space="0" w:color="auto"/>
                                              </w:divBdr>
                                              <w:divsChild>
                                                <w:div w:id="38363232">
                                                  <w:marLeft w:val="0"/>
                                                  <w:marRight w:val="0"/>
                                                  <w:marTop w:val="0"/>
                                                  <w:marBottom w:val="0"/>
                                                  <w:divBdr>
                                                    <w:top w:val="none" w:sz="0" w:space="0" w:color="auto"/>
                                                    <w:left w:val="none" w:sz="0" w:space="0" w:color="auto"/>
                                                    <w:bottom w:val="none" w:sz="0" w:space="0" w:color="auto"/>
                                                    <w:right w:val="none" w:sz="0" w:space="0" w:color="auto"/>
                                                  </w:divBdr>
                                                  <w:divsChild>
                                                    <w:div w:id="505290534">
                                                      <w:marLeft w:val="0"/>
                                                      <w:marRight w:val="0"/>
                                                      <w:marTop w:val="0"/>
                                                      <w:marBottom w:val="0"/>
                                                      <w:divBdr>
                                                        <w:top w:val="none" w:sz="0" w:space="0" w:color="auto"/>
                                                        <w:left w:val="none" w:sz="0" w:space="0" w:color="auto"/>
                                                        <w:bottom w:val="none" w:sz="0" w:space="0" w:color="auto"/>
                                                        <w:right w:val="none" w:sz="0" w:space="0" w:color="auto"/>
                                                      </w:divBdr>
                                                      <w:divsChild>
                                                        <w:div w:id="1617983544">
                                                          <w:marLeft w:val="0"/>
                                                          <w:marRight w:val="0"/>
                                                          <w:marTop w:val="0"/>
                                                          <w:marBottom w:val="0"/>
                                                          <w:divBdr>
                                                            <w:top w:val="none" w:sz="0" w:space="0" w:color="auto"/>
                                                            <w:left w:val="none" w:sz="0" w:space="0" w:color="auto"/>
                                                            <w:bottom w:val="none" w:sz="0" w:space="0" w:color="auto"/>
                                                            <w:right w:val="none" w:sz="0" w:space="0" w:color="auto"/>
                                                          </w:divBdr>
                                                          <w:divsChild>
                                                            <w:div w:id="2043048580">
                                                              <w:marLeft w:val="0"/>
                                                              <w:marRight w:val="0"/>
                                                              <w:marTop w:val="0"/>
                                                              <w:marBottom w:val="0"/>
                                                              <w:divBdr>
                                                                <w:top w:val="none" w:sz="0" w:space="0" w:color="auto"/>
                                                                <w:left w:val="none" w:sz="0" w:space="0" w:color="auto"/>
                                                                <w:bottom w:val="none" w:sz="0" w:space="0" w:color="auto"/>
                                                                <w:right w:val="none" w:sz="0" w:space="0" w:color="auto"/>
                                                              </w:divBdr>
                                                              <w:divsChild>
                                                                <w:div w:id="1593856322">
                                                                  <w:marLeft w:val="0"/>
                                                                  <w:marRight w:val="0"/>
                                                                  <w:marTop w:val="0"/>
                                                                  <w:marBottom w:val="0"/>
                                                                  <w:divBdr>
                                                                    <w:top w:val="none" w:sz="0" w:space="0" w:color="auto"/>
                                                                    <w:left w:val="none" w:sz="0" w:space="0" w:color="auto"/>
                                                                    <w:bottom w:val="none" w:sz="0" w:space="0" w:color="auto"/>
                                                                    <w:right w:val="none" w:sz="0" w:space="0" w:color="auto"/>
                                                                  </w:divBdr>
                                                                  <w:divsChild>
                                                                    <w:div w:id="1776054529">
                                                                      <w:marLeft w:val="0"/>
                                                                      <w:marRight w:val="0"/>
                                                                      <w:marTop w:val="0"/>
                                                                      <w:marBottom w:val="0"/>
                                                                      <w:divBdr>
                                                                        <w:top w:val="none" w:sz="0" w:space="0" w:color="auto"/>
                                                                        <w:left w:val="none" w:sz="0" w:space="0" w:color="auto"/>
                                                                        <w:bottom w:val="none" w:sz="0" w:space="0" w:color="auto"/>
                                                                        <w:right w:val="none" w:sz="0" w:space="0" w:color="auto"/>
                                                                      </w:divBdr>
                                                                      <w:divsChild>
                                                                        <w:div w:id="379672922">
                                                                          <w:marLeft w:val="0"/>
                                                                          <w:marRight w:val="0"/>
                                                                          <w:marTop w:val="0"/>
                                                                          <w:marBottom w:val="0"/>
                                                                          <w:divBdr>
                                                                            <w:top w:val="none" w:sz="0" w:space="0" w:color="auto"/>
                                                                            <w:left w:val="none" w:sz="0" w:space="0" w:color="auto"/>
                                                                            <w:bottom w:val="none" w:sz="0" w:space="0" w:color="auto"/>
                                                                            <w:right w:val="none" w:sz="0" w:space="0" w:color="auto"/>
                                                                          </w:divBdr>
                                                                          <w:divsChild>
                                                                            <w:div w:id="816722778">
                                                                              <w:marLeft w:val="0"/>
                                                                              <w:marRight w:val="0"/>
                                                                              <w:marTop w:val="0"/>
                                                                              <w:marBottom w:val="0"/>
                                                                              <w:divBdr>
                                                                                <w:top w:val="none" w:sz="0" w:space="0" w:color="auto"/>
                                                                                <w:left w:val="none" w:sz="0" w:space="0" w:color="auto"/>
                                                                                <w:bottom w:val="none" w:sz="0" w:space="0" w:color="auto"/>
                                                                                <w:right w:val="none" w:sz="0" w:space="0" w:color="auto"/>
                                                                              </w:divBdr>
                                                                              <w:divsChild>
                                                                                <w:div w:id="515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9591ADF0BDD50A8C79B3CDDD01EB8B1CEF648A9B1856467E3F92F6133113EF33197453ED0C56599EE0D3080A1D28DE9C3BBA269FF0227a3R0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13</Pages>
  <Words>4838</Words>
  <Characters>27582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Н.С.Фредериксен</cp:lastModifiedBy>
  <cp:revision>17</cp:revision>
  <dcterms:created xsi:type="dcterms:W3CDTF">2015-07-22T07:17:00Z</dcterms:created>
  <dcterms:modified xsi:type="dcterms:W3CDTF">2021-03-09T08:02:00Z</dcterms:modified>
</cp:coreProperties>
</file>