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решения Совета </w:t>
      </w:r>
      <w:r w:rsidR="00A571CF">
        <w:rPr>
          <w:color w:val="000000"/>
          <w:spacing w:val="1"/>
          <w:sz w:val="28"/>
          <w:szCs w:val="28"/>
        </w:rPr>
        <w:t>Шол</w:t>
      </w:r>
      <w:r w:rsidR="006729F3">
        <w:rPr>
          <w:color w:val="000000"/>
          <w:spacing w:val="1"/>
          <w:sz w:val="28"/>
          <w:szCs w:val="28"/>
        </w:rPr>
        <w:t>ьског</w:t>
      </w:r>
      <w:r w:rsidR="00314E7F">
        <w:rPr>
          <w:color w:val="000000"/>
          <w:spacing w:val="1"/>
          <w:sz w:val="28"/>
          <w:szCs w:val="28"/>
        </w:rPr>
        <w:t>о сельского поселения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A571CF" w:rsidRPr="00A571CF">
        <w:rPr>
          <w:color w:val="000000"/>
          <w:spacing w:val="1"/>
          <w:sz w:val="28"/>
          <w:szCs w:val="28"/>
        </w:rPr>
        <w:t xml:space="preserve">Шольского </w:t>
      </w:r>
      <w:r w:rsidR="00314E7F" w:rsidRPr="00314E7F">
        <w:rPr>
          <w:color w:val="000000"/>
          <w:spacing w:val="1"/>
          <w:sz w:val="28"/>
          <w:szCs w:val="28"/>
        </w:rPr>
        <w:t>сельского поселения</w:t>
      </w:r>
      <w:r w:rsidR="0068213B" w:rsidRPr="0068213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A571CF">
        <w:rPr>
          <w:color w:val="000000"/>
          <w:spacing w:val="1"/>
          <w:sz w:val="28"/>
          <w:szCs w:val="28"/>
        </w:rPr>
        <w:t>5</w:t>
      </w:r>
      <w:r w:rsidRPr="00A4197B">
        <w:rPr>
          <w:color w:val="000000"/>
          <w:spacing w:val="1"/>
          <w:sz w:val="28"/>
          <w:szCs w:val="28"/>
        </w:rPr>
        <w:t>.12.201</w:t>
      </w:r>
      <w:r w:rsidR="00F029D0" w:rsidRPr="00A4197B">
        <w:rPr>
          <w:color w:val="000000"/>
          <w:spacing w:val="1"/>
          <w:sz w:val="28"/>
          <w:szCs w:val="28"/>
        </w:rPr>
        <w:t>9</w:t>
      </w:r>
      <w:r w:rsidRPr="00A4197B">
        <w:rPr>
          <w:color w:val="000000"/>
          <w:spacing w:val="1"/>
          <w:sz w:val="28"/>
          <w:szCs w:val="28"/>
        </w:rPr>
        <w:t xml:space="preserve"> № </w:t>
      </w:r>
      <w:r w:rsidR="00A571CF">
        <w:rPr>
          <w:color w:val="000000"/>
          <w:spacing w:val="1"/>
          <w:sz w:val="28"/>
          <w:szCs w:val="28"/>
        </w:rPr>
        <w:t>35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A571CF" w:rsidRPr="00A571CF">
        <w:rPr>
          <w:color w:val="000000"/>
          <w:sz w:val="28"/>
          <w:szCs w:val="28"/>
        </w:rPr>
        <w:t xml:space="preserve">Шольского </w:t>
      </w:r>
      <w:r w:rsidR="00314E7F" w:rsidRPr="00314E7F">
        <w:rPr>
          <w:color w:val="000000"/>
          <w:sz w:val="28"/>
          <w:szCs w:val="28"/>
        </w:rPr>
        <w:t>сельского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0FBC">
        <w:rPr>
          <w:sz w:val="28"/>
          <w:szCs w:val="28"/>
        </w:rPr>
        <w:t>24</w:t>
      </w:r>
      <w:r w:rsidR="00BA608C">
        <w:rPr>
          <w:sz w:val="28"/>
          <w:szCs w:val="28"/>
        </w:rPr>
        <w:t xml:space="preserve"> </w:t>
      </w:r>
      <w:r w:rsidR="00820FBC">
        <w:rPr>
          <w:sz w:val="28"/>
          <w:szCs w:val="28"/>
        </w:rPr>
        <w:t xml:space="preserve">декабря </w:t>
      </w:r>
      <w:r w:rsidR="00CC147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474DBF" w:rsidP="00806828">
      <w:pPr>
        <w:shd w:val="clear" w:color="auto" w:fill="FFFFFF"/>
        <w:ind w:firstLine="706"/>
        <w:jc w:val="both"/>
        <w:rPr>
          <w:sz w:val="28"/>
          <w:szCs w:val="28"/>
        </w:rPr>
      </w:pPr>
      <w:r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</w:t>
      </w:r>
      <w:r w:rsidR="00A571CF" w:rsidRPr="00A571CF">
        <w:rPr>
          <w:sz w:val="28"/>
          <w:szCs w:val="28"/>
        </w:rPr>
        <w:t xml:space="preserve">Шольского </w:t>
      </w:r>
      <w:r w:rsidR="009636AD" w:rsidRPr="009636AD">
        <w:rPr>
          <w:sz w:val="28"/>
          <w:szCs w:val="28"/>
        </w:rPr>
        <w:t>сельского поселения</w:t>
      </w:r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</w:t>
      </w:r>
      <w:r w:rsidR="00382A5A" w:rsidRPr="00382A5A">
        <w:rPr>
          <w:color w:val="000000"/>
          <w:spacing w:val="1"/>
          <w:sz w:val="28"/>
          <w:szCs w:val="28"/>
        </w:rPr>
        <w:t xml:space="preserve">Шольского </w:t>
      </w:r>
      <w:r w:rsidR="009636AD" w:rsidRPr="009636AD">
        <w:rPr>
          <w:color w:val="000000"/>
          <w:spacing w:val="1"/>
          <w:sz w:val="28"/>
          <w:szCs w:val="28"/>
        </w:rPr>
        <w:t xml:space="preserve">сельского </w:t>
      </w:r>
      <w:r w:rsidR="009636AD" w:rsidRPr="00A4197B">
        <w:rPr>
          <w:color w:val="000000"/>
          <w:spacing w:val="1"/>
          <w:sz w:val="28"/>
          <w:szCs w:val="28"/>
        </w:rPr>
        <w:t xml:space="preserve">поселения </w:t>
      </w:r>
      <w:r w:rsidR="005574CA" w:rsidRPr="00A4197B">
        <w:rPr>
          <w:color w:val="000000"/>
          <w:spacing w:val="1"/>
          <w:sz w:val="28"/>
          <w:szCs w:val="28"/>
        </w:rPr>
        <w:t xml:space="preserve">от </w:t>
      </w:r>
      <w:r w:rsidR="00A4197B" w:rsidRPr="00A4197B">
        <w:rPr>
          <w:color w:val="000000"/>
          <w:spacing w:val="1"/>
          <w:sz w:val="28"/>
          <w:szCs w:val="28"/>
        </w:rPr>
        <w:t>2</w:t>
      </w:r>
      <w:r w:rsidR="00382A5A">
        <w:rPr>
          <w:color w:val="000000"/>
          <w:spacing w:val="1"/>
          <w:sz w:val="28"/>
          <w:szCs w:val="28"/>
        </w:rPr>
        <w:t>5</w:t>
      </w:r>
      <w:r w:rsidR="00A4197B" w:rsidRPr="00A4197B">
        <w:rPr>
          <w:color w:val="000000"/>
          <w:spacing w:val="1"/>
          <w:sz w:val="28"/>
          <w:szCs w:val="28"/>
        </w:rPr>
        <w:t xml:space="preserve">.12.2019 № </w:t>
      </w:r>
      <w:r w:rsidR="00382A5A">
        <w:rPr>
          <w:color w:val="000000"/>
          <w:spacing w:val="1"/>
          <w:sz w:val="28"/>
          <w:szCs w:val="28"/>
        </w:rPr>
        <w:t>35</w:t>
      </w:r>
      <w:r w:rsidR="00A4197B" w:rsidRPr="00A4197B">
        <w:rPr>
          <w:color w:val="000000"/>
          <w:spacing w:val="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</w:t>
      </w:r>
      <w:r w:rsidR="00382A5A" w:rsidRPr="00382A5A">
        <w:rPr>
          <w:color w:val="000000"/>
          <w:sz w:val="28"/>
          <w:szCs w:val="28"/>
        </w:rPr>
        <w:t xml:space="preserve">Шольского </w:t>
      </w:r>
      <w:r w:rsidR="009636AD" w:rsidRPr="009636AD">
        <w:rPr>
          <w:color w:val="000000"/>
          <w:sz w:val="28"/>
          <w:szCs w:val="28"/>
        </w:rPr>
        <w:t>сельского поселения</w:t>
      </w:r>
      <w:r w:rsidR="004D4770" w:rsidRPr="004D4770">
        <w:rPr>
          <w:color w:val="000000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>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BA608C">
        <w:rPr>
          <w:b/>
          <w:color w:val="000000"/>
          <w:sz w:val="28"/>
          <w:szCs w:val="28"/>
        </w:rPr>
        <w:t>Цель экспертизы</w:t>
      </w:r>
      <w:r w:rsidRPr="00BA608C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BA608C">
        <w:rPr>
          <w:color w:val="000000"/>
          <w:sz w:val="28"/>
          <w:szCs w:val="28"/>
        </w:rPr>
        <w:t xml:space="preserve">Совета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E15CB0" w:rsidRPr="00BA608C">
        <w:rPr>
          <w:color w:val="000000"/>
          <w:sz w:val="28"/>
          <w:szCs w:val="28"/>
        </w:rPr>
        <w:t xml:space="preserve"> от </w:t>
      </w:r>
      <w:r w:rsidR="00A4197B" w:rsidRPr="00BA608C">
        <w:rPr>
          <w:color w:val="000000"/>
          <w:sz w:val="28"/>
          <w:szCs w:val="28"/>
        </w:rPr>
        <w:t>2</w:t>
      </w:r>
      <w:r w:rsidR="00A441DA" w:rsidRPr="00BA608C">
        <w:rPr>
          <w:color w:val="000000"/>
          <w:sz w:val="28"/>
          <w:szCs w:val="28"/>
        </w:rPr>
        <w:t>5</w:t>
      </w:r>
      <w:r w:rsidR="00A4197B" w:rsidRPr="00BA608C">
        <w:rPr>
          <w:color w:val="000000"/>
          <w:sz w:val="28"/>
          <w:szCs w:val="28"/>
        </w:rPr>
        <w:t xml:space="preserve">.12.2019 № </w:t>
      </w:r>
      <w:r w:rsidR="00A441DA" w:rsidRPr="00BA608C">
        <w:rPr>
          <w:color w:val="000000"/>
          <w:sz w:val="28"/>
          <w:szCs w:val="28"/>
        </w:rPr>
        <w:t>35</w:t>
      </w:r>
      <w:r w:rsidR="00A4197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 xml:space="preserve">«О бюджете </w:t>
      </w:r>
      <w:r w:rsidR="00A441DA" w:rsidRPr="00BA608C">
        <w:rPr>
          <w:color w:val="000000"/>
          <w:sz w:val="28"/>
          <w:szCs w:val="28"/>
        </w:rPr>
        <w:t xml:space="preserve">Шольского </w:t>
      </w:r>
      <w:r w:rsidR="00070CD6" w:rsidRPr="00BA608C">
        <w:rPr>
          <w:color w:val="000000"/>
          <w:sz w:val="28"/>
          <w:szCs w:val="28"/>
        </w:rPr>
        <w:t>сельского поселения</w:t>
      </w:r>
      <w:r w:rsidR="0068213B" w:rsidRPr="00BA608C">
        <w:rPr>
          <w:color w:val="000000"/>
          <w:sz w:val="28"/>
          <w:szCs w:val="28"/>
        </w:rPr>
        <w:t xml:space="preserve"> </w:t>
      </w:r>
      <w:r w:rsidR="00E15CB0" w:rsidRPr="00BA608C">
        <w:rPr>
          <w:color w:val="000000"/>
          <w:sz w:val="28"/>
          <w:szCs w:val="28"/>
        </w:rPr>
        <w:t>на 2020 год и плановый период 2021 и 2022 годов».</w:t>
      </w:r>
    </w:p>
    <w:p w:rsidR="00720DDD" w:rsidRPr="00237DF1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237DF1">
        <w:rPr>
          <w:b/>
          <w:sz w:val="28"/>
          <w:szCs w:val="28"/>
        </w:rPr>
        <w:t xml:space="preserve">Сроки проведения: </w:t>
      </w:r>
      <w:r w:rsidR="00063C8B" w:rsidRPr="00237DF1">
        <w:rPr>
          <w:sz w:val="28"/>
          <w:szCs w:val="28"/>
        </w:rPr>
        <w:t xml:space="preserve">с </w:t>
      </w:r>
      <w:r w:rsidR="00591A28">
        <w:rPr>
          <w:sz w:val="28"/>
          <w:szCs w:val="28"/>
        </w:rPr>
        <w:t>24</w:t>
      </w:r>
      <w:r w:rsidR="002504E3" w:rsidRPr="00237DF1">
        <w:rPr>
          <w:sz w:val="28"/>
          <w:szCs w:val="28"/>
        </w:rPr>
        <w:t>.</w:t>
      </w:r>
      <w:r w:rsidR="00237DF1" w:rsidRPr="00237DF1">
        <w:rPr>
          <w:sz w:val="28"/>
          <w:szCs w:val="28"/>
        </w:rPr>
        <w:t>1</w:t>
      </w:r>
      <w:r w:rsidR="00591A28">
        <w:rPr>
          <w:sz w:val="28"/>
          <w:szCs w:val="28"/>
        </w:rPr>
        <w:t>2</w:t>
      </w:r>
      <w:r w:rsidR="002504E3" w:rsidRPr="00237DF1">
        <w:rPr>
          <w:sz w:val="28"/>
          <w:szCs w:val="28"/>
        </w:rPr>
        <w:t xml:space="preserve">.2020 по </w:t>
      </w:r>
      <w:r w:rsidR="00591A28">
        <w:rPr>
          <w:sz w:val="28"/>
          <w:szCs w:val="28"/>
        </w:rPr>
        <w:t>24.12</w:t>
      </w:r>
      <w:r w:rsidRPr="00237DF1">
        <w:rPr>
          <w:sz w:val="28"/>
          <w:szCs w:val="28"/>
        </w:rPr>
        <w:t>.2020</w:t>
      </w:r>
    </w:p>
    <w:p w:rsidR="00720DDD" w:rsidRPr="00F8229F" w:rsidRDefault="00720DDD" w:rsidP="00237DF1">
      <w:pPr>
        <w:ind w:firstLine="360"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F8229F" w:rsidRDefault="00720DDD" w:rsidP="000A0BA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проект </w:t>
      </w:r>
      <w:r w:rsidR="00444AAE" w:rsidRPr="00F8229F">
        <w:rPr>
          <w:color w:val="000000"/>
          <w:spacing w:val="1"/>
          <w:sz w:val="28"/>
          <w:szCs w:val="28"/>
        </w:rPr>
        <w:t xml:space="preserve">решения </w:t>
      </w:r>
      <w:r w:rsidRPr="00F8229F">
        <w:rPr>
          <w:color w:val="000000"/>
          <w:spacing w:val="1"/>
          <w:sz w:val="28"/>
          <w:szCs w:val="28"/>
        </w:rPr>
        <w:t xml:space="preserve">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Pr="00F8229F">
        <w:rPr>
          <w:color w:val="000000"/>
          <w:spacing w:val="1"/>
          <w:sz w:val="28"/>
          <w:szCs w:val="28"/>
        </w:rPr>
        <w:t xml:space="preserve"> </w:t>
      </w:r>
      <w:r w:rsidR="003A09E0" w:rsidRPr="00F8229F">
        <w:rPr>
          <w:color w:val="000000"/>
          <w:spacing w:val="1"/>
          <w:sz w:val="28"/>
          <w:szCs w:val="28"/>
        </w:rPr>
        <w:t>«О</w:t>
      </w:r>
      <w:r w:rsidR="00444AAE" w:rsidRPr="00F8229F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F8229F">
        <w:rPr>
          <w:color w:val="000000"/>
          <w:spacing w:val="1"/>
          <w:sz w:val="28"/>
          <w:szCs w:val="28"/>
        </w:rPr>
        <w:t xml:space="preserve">в </w:t>
      </w:r>
      <w:r w:rsidR="00EC6E6E" w:rsidRPr="00F8229F">
        <w:rPr>
          <w:color w:val="000000"/>
          <w:spacing w:val="1"/>
          <w:sz w:val="28"/>
          <w:szCs w:val="28"/>
        </w:rPr>
        <w:t xml:space="preserve">решение Совета </w:t>
      </w:r>
      <w:r w:rsidR="000A0BAD" w:rsidRPr="00F8229F">
        <w:rPr>
          <w:color w:val="000000"/>
          <w:spacing w:val="1"/>
          <w:sz w:val="28"/>
          <w:szCs w:val="28"/>
        </w:rPr>
        <w:t xml:space="preserve">Шольского </w:t>
      </w:r>
      <w:r w:rsidR="00444AAE" w:rsidRPr="00F8229F">
        <w:rPr>
          <w:color w:val="000000"/>
          <w:spacing w:val="1"/>
          <w:sz w:val="28"/>
          <w:szCs w:val="28"/>
        </w:rPr>
        <w:t>сельского поселения</w:t>
      </w:r>
      <w:r w:rsidR="00EC6E6E" w:rsidRPr="00F8229F">
        <w:rPr>
          <w:color w:val="000000"/>
          <w:spacing w:val="1"/>
          <w:sz w:val="28"/>
          <w:szCs w:val="28"/>
        </w:rPr>
        <w:t xml:space="preserve"> от </w:t>
      </w:r>
      <w:r w:rsidR="008056EE" w:rsidRPr="00F8229F">
        <w:rPr>
          <w:color w:val="000000"/>
          <w:spacing w:val="1"/>
          <w:sz w:val="28"/>
          <w:szCs w:val="28"/>
        </w:rPr>
        <w:t>2</w:t>
      </w:r>
      <w:r w:rsidR="000A0BAD" w:rsidRPr="00F8229F">
        <w:rPr>
          <w:color w:val="000000"/>
          <w:spacing w:val="1"/>
          <w:sz w:val="28"/>
          <w:szCs w:val="28"/>
        </w:rPr>
        <w:t>5</w:t>
      </w:r>
      <w:r w:rsidR="008056EE" w:rsidRPr="00F8229F">
        <w:rPr>
          <w:color w:val="000000"/>
          <w:spacing w:val="1"/>
          <w:sz w:val="28"/>
          <w:szCs w:val="28"/>
        </w:rPr>
        <w:t xml:space="preserve">.12.2019 № </w:t>
      </w:r>
      <w:r w:rsidR="000A0BAD" w:rsidRPr="00F8229F">
        <w:rPr>
          <w:color w:val="000000"/>
          <w:spacing w:val="1"/>
          <w:sz w:val="28"/>
          <w:szCs w:val="28"/>
        </w:rPr>
        <w:t>35</w:t>
      </w:r>
      <w:r w:rsidRPr="00F8229F">
        <w:rPr>
          <w:color w:val="000000"/>
          <w:spacing w:val="1"/>
          <w:sz w:val="28"/>
          <w:szCs w:val="28"/>
        </w:rPr>
        <w:t>;</w:t>
      </w:r>
    </w:p>
    <w:p w:rsidR="00720DDD" w:rsidRPr="00F8229F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F8229F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F8229F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F8229F"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AD5403" w:rsidRPr="00703984" w:rsidRDefault="00703984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</w:t>
      </w:r>
      <w:r w:rsidR="00782F97" w:rsidRPr="00AD540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="001428AD" w:rsidRPr="00AD5403">
        <w:rPr>
          <w:sz w:val="28"/>
          <w:szCs w:val="28"/>
        </w:rPr>
        <w:t xml:space="preserve"> Финансового управления Бел</w:t>
      </w:r>
      <w:r w:rsidR="00782F97" w:rsidRPr="00AD5403">
        <w:rPr>
          <w:sz w:val="28"/>
          <w:szCs w:val="28"/>
        </w:rPr>
        <w:t xml:space="preserve">озерского муниципального </w:t>
      </w:r>
      <w:r w:rsidR="00782F97" w:rsidRPr="007F1BEC">
        <w:rPr>
          <w:sz w:val="28"/>
          <w:szCs w:val="28"/>
        </w:rPr>
        <w:t>района</w:t>
      </w:r>
      <w:r w:rsidR="0011688D" w:rsidRPr="007F1BEC">
        <w:t xml:space="preserve"> </w:t>
      </w:r>
      <w:r w:rsidR="0011688D" w:rsidRPr="00703984">
        <w:rPr>
          <w:sz w:val="28"/>
          <w:szCs w:val="28"/>
        </w:rPr>
        <w:t xml:space="preserve">от </w:t>
      </w:r>
      <w:r w:rsidRPr="00703984">
        <w:rPr>
          <w:sz w:val="28"/>
          <w:szCs w:val="28"/>
        </w:rPr>
        <w:t>25.11</w:t>
      </w:r>
      <w:r w:rsidR="00AD5403" w:rsidRPr="00703984">
        <w:rPr>
          <w:sz w:val="28"/>
          <w:szCs w:val="28"/>
        </w:rPr>
        <w:t>.2020</w:t>
      </w:r>
      <w:r w:rsidR="0011688D" w:rsidRPr="00703984">
        <w:rPr>
          <w:sz w:val="28"/>
          <w:szCs w:val="28"/>
        </w:rPr>
        <w:t xml:space="preserve"> № </w:t>
      </w:r>
      <w:r w:rsidRPr="00703984">
        <w:rPr>
          <w:sz w:val="28"/>
          <w:szCs w:val="28"/>
        </w:rPr>
        <w:t>174</w:t>
      </w:r>
      <w:r w:rsidR="00AD5403" w:rsidRPr="00703984">
        <w:rPr>
          <w:sz w:val="28"/>
          <w:szCs w:val="28"/>
        </w:rPr>
        <w:t>;</w:t>
      </w:r>
    </w:p>
    <w:p w:rsidR="00011F26" w:rsidRDefault="00AD5403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703984">
        <w:rPr>
          <w:color w:val="000000"/>
          <w:sz w:val="28"/>
          <w:szCs w:val="28"/>
        </w:rPr>
        <w:t>копии уведомлений Финансового</w:t>
      </w:r>
      <w:r w:rsidRPr="007F1BEC">
        <w:rPr>
          <w:color w:val="000000"/>
          <w:sz w:val="28"/>
          <w:szCs w:val="28"/>
        </w:rPr>
        <w:t xml:space="preserve"> управления Белозерского муниципального </w:t>
      </w:r>
      <w:r w:rsidRPr="00703984">
        <w:rPr>
          <w:color w:val="000000"/>
          <w:sz w:val="28"/>
          <w:szCs w:val="28"/>
        </w:rPr>
        <w:t xml:space="preserve">района  от </w:t>
      </w:r>
      <w:r w:rsidR="00703984" w:rsidRPr="00703984">
        <w:rPr>
          <w:color w:val="000000"/>
          <w:sz w:val="28"/>
          <w:szCs w:val="28"/>
        </w:rPr>
        <w:t>24.12</w:t>
      </w:r>
      <w:r w:rsidRPr="00703984">
        <w:rPr>
          <w:color w:val="000000"/>
          <w:sz w:val="28"/>
          <w:szCs w:val="28"/>
        </w:rPr>
        <w:t>.2020 №</w:t>
      </w:r>
      <w:r w:rsidR="00703984" w:rsidRPr="00703984">
        <w:rPr>
          <w:color w:val="000000"/>
          <w:sz w:val="28"/>
          <w:szCs w:val="28"/>
        </w:rPr>
        <w:t>23</w:t>
      </w:r>
      <w:r w:rsidR="007F1BEC" w:rsidRPr="00703984">
        <w:rPr>
          <w:color w:val="000000"/>
          <w:sz w:val="28"/>
          <w:szCs w:val="28"/>
        </w:rPr>
        <w:t xml:space="preserve">, от </w:t>
      </w:r>
      <w:r w:rsidR="00703984" w:rsidRPr="00703984">
        <w:rPr>
          <w:color w:val="000000"/>
          <w:sz w:val="28"/>
          <w:szCs w:val="28"/>
        </w:rPr>
        <w:t>24.12</w:t>
      </w:r>
      <w:r w:rsidR="007F1BEC" w:rsidRPr="00703984">
        <w:rPr>
          <w:color w:val="000000"/>
          <w:sz w:val="28"/>
          <w:szCs w:val="28"/>
        </w:rPr>
        <w:t>.2020 №</w:t>
      </w:r>
      <w:r w:rsidR="00703984" w:rsidRPr="00703984">
        <w:rPr>
          <w:color w:val="000000"/>
          <w:sz w:val="28"/>
          <w:szCs w:val="28"/>
        </w:rPr>
        <w:t>25</w:t>
      </w:r>
      <w:r w:rsidR="007F1BEC" w:rsidRPr="00C4019B">
        <w:rPr>
          <w:color w:val="000000"/>
          <w:sz w:val="28"/>
          <w:szCs w:val="28"/>
        </w:rPr>
        <w:t xml:space="preserve">, от </w:t>
      </w:r>
      <w:r w:rsidR="00C4019B" w:rsidRPr="00C4019B">
        <w:rPr>
          <w:color w:val="000000"/>
          <w:sz w:val="28"/>
          <w:szCs w:val="28"/>
        </w:rPr>
        <w:t>25</w:t>
      </w:r>
      <w:r w:rsidR="007F1BEC" w:rsidRPr="00C4019B">
        <w:rPr>
          <w:color w:val="000000"/>
          <w:sz w:val="28"/>
          <w:szCs w:val="28"/>
        </w:rPr>
        <w:t>.1</w:t>
      </w:r>
      <w:r w:rsidR="00C4019B" w:rsidRPr="00C4019B">
        <w:rPr>
          <w:color w:val="000000"/>
          <w:sz w:val="28"/>
          <w:szCs w:val="28"/>
        </w:rPr>
        <w:t>1</w:t>
      </w:r>
      <w:r w:rsidR="007F1BEC" w:rsidRPr="00C4019B">
        <w:rPr>
          <w:color w:val="000000"/>
          <w:sz w:val="28"/>
          <w:szCs w:val="28"/>
        </w:rPr>
        <w:t>.2020 №4</w:t>
      </w:r>
      <w:r w:rsidR="00C4019B" w:rsidRPr="00C4019B">
        <w:rPr>
          <w:color w:val="000000"/>
          <w:sz w:val="28"/>
          <w:szCs w:val="28"/>
        </w:rPr>
        <w:t>8</w:t>
      </w:r>
      <w:r w:rsidR="007F1BEC" w:rsidRPr="00C4019B">
        <w:rPr>
          <w:color w:val="000000"/>
          <w:sz w:val="28"/>
          <w:szCs w:val="28"/>
        </w:rPr>
        <w:t>;</w:t>
      </w:r>
    </w:p>
    <w:p w:rsidR="007F1BEC" w:rsidRPr="00C4019B" w:rsidRDefault="007F1BEC" w:rsidP="007F1BEC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C4019B">
        <w:rPr>
          <w:sz w:val="28"/>
          <w:szCs w:val="28"/>
        </w:rPr>
        <w:t xml:space="preserve">копия приложения </w:t>
      </w:r>
      <w:r w:rsidR="00C4019B" w:rsidRPr="00C4019B">
        <w:rPr>
          <w:sz w:val="28"/>
          <w:szCs w:val="28"/>
        </w:rPr>
        <w:t>41</w:t>
      </w:r>
      <w:r w:rsidRPr="00C4019B">
        <w:rPr>
          <w:sz w:val="28"/>
          <w:szCs w:val="28"/>
        </w:rPr>
        <w:t xml:space="preserve"> к закону области «О внесении изменений в закон области», «Об областном бюджете на 2020 год и плановый период 2021 и 2022 годов;</w:t>
      </w:r>
    </w:p>
    <w:p w:rsidR="009D4176" w:rsidRPr="00DF6952" w:rsidRDefault="00FA72AC" w:rsidP="00DF6952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</w:rPr>
      </w:pPr>
      <w:r w:rsidRPr="00DF6952">
        <w:rPr>
          <w:sz w:val="28"/>
          <w:szCs w:val="28"/>
        </w:rPr>
        <w:lastRenderedPageBreak/>
        <w:t>копия Постановления</w:t>
      </w:r>
      <w:r w:rsidR="009D4176" w:rsidRPr="00DF6952">
        <w:rPr>
          <w:sz w:val="28"/>
          <w:szCs w:val="28"/>
        </w:rPr>
        <w:t xml:space="preserve"> </w:t>
      </w:r>
      <w:r w:rsidR="00DF6952" w:rsidRPr="00DF6952">
        <w:rPr>
          <w:sz w:val="28"/>
          <w:szCs w:val="28"/>
        </w:rPr>
        <w:t xml:space="preserve">от 01.12.2020 № 123 </w:t>
      </w:r>
      <w:r w:rsidRPr="00DF6952">
        <w:rPr>
          <w:sz w:val="28"/>
          <w:szCs w:val="28"/>
        </w:rPr>
        <w:t>Администрации</w:t>
      </w:r>
      <w:r w:rsidR="000C4070" w:rsidRPr="00DF6952">
        <w:rPr>
          <w:sz w:val="28"/>
          <w:szCs w:val="28"/>
        </w:rPr>
        <w:t xml:space="preserve"> </w:t>
      </w:r>
      <w:r w:rsidR="00B00753" w:rsidRPr="00DF6952">
        <w:rPr>
          <w:sz w:val="28"/>
          <w:szCs w:val="28"/>
        </w:rPr>
        <w:t xml:space="preserve">Шольского </w:t>
      </w:r>
      <w:r w:rsidR="000C4070" w:rsidRPr="00DF6952">
        <w:rPr>
          <w:sz w:val="28"/>
          <w:szCs w:val="28"/>
        </w:rPr>
        <w:t>сельского поселения</w:t>
      </w:r>
      <w:r w:rsidR="00870C11" w:rsidRPr="00DF6952">
        <w:rPr>
          <w:sz w:val="28"/>
          <w:szCs w:val="28"/>
        </w:rPr>
        <w:t>.</w:t>
      </w:r>
    </w:p>
    <w:p w:rsidR="00097F82" w:rsidRPr="00F8229F" w:rsidRDefault="00A71D40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b/>
          <w:bCs/>
          <w:iCs/>
          <w:sz w:val="28"/>
          <w:szCs w:val="28"/>
        </w:rPr>
        <w:t>В</w:t>
      </w:r>
      <w:r w:rsidR="003B2B7D" w:rsidRPr="00F8229F">
        <w:rPr>
          <w:b/>
          <w:bCs/>
          <w:iCs/>
          <w:sz w:val="28"/>
          <w:szCs w:val="28"/>
        </w:rPr>
        <w:t xml:space="preserve"> ходе проведения </w:t>
      </w:r>
      <w:r w:rsidRPr="00F8229F">
        <w:rPr>
          <w:b/>
          <w:bCs/>
          <w:iCs/>
          <w:sz w:val="28"/>
          <w:szCs w:val="28"/>
        </w:rPr>
        <w:t xml:space="preserve"> экспертизы</w:t>
      </w:r>
      <w:r w:rsidR="003B2B7D" w:rsidRPr="00F8229F">
        <w:rPr>
          <w:b/>
          <w:bCs/>
          <w:iCs/>
          <w:sz w:val="28"/>
          <w:szCs w:val="28"/>
        </w:rPr>
        <w:t xml:space="preserve"> проекта решения</w:t>
      </w:r>
      <w:r w:rsidRPr="00F8229F">
        <w:rPr>
          <w:b/>
          <w:bCs/>
          <w:iCs/>
          <w:sz w:val="28"/>
          <w:szCs w:val="28"/>
        </w:rPr>
        <w:t xml:space="preserve"> установлено</w:t>
      </w:r>
      <w:r w:rsidRPr="00F8229F">
        <w:rPr>
          <w:b/>
          <w:bCs/>
          <w:sz w:val="28"/>
          <w:szCs w:val="28"/>
        </w:rPr>
        <w:t>:</w:t>
      </w:r>
    </w:p>
    <w:p w:rsidR="006C5FCF" w:rsidRPr="00F8229F" w:rsidRDefault="006C5FCF" w:rsidP="00097F82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F8229F">
        <w:rPr>
          <w:sz w:val="28"/>
          <w:szCs w:val="28"/>
        </w:rPr>
        <w:t xml:space="preserve">Проектом решения предлагается утвердить основные характеристики бюджета поселения на </w:t>
      </w:r>
      <w:r w:rsidRPr="005818B8">
        <w:rPr>
          <w:b/>
          <w:i/>
          <w:sz w:val="28"/>
          <w:szCs w:val="28"/>
        </w:rPr>
        <w:t>20</w:t>
      </w:r>
      <w:r w:rsidR="007B611D" w:rsidRPr="005818B8">
        <w:rPr>
          <w:b/>
          <w:i/>
          <w:sz w:val="28"/>
          <w:szCs w:val="28"/>
        </w:rPr>
        <w:t>20</w:t>
      </w:r>
      <w:r w:rsidRPr="005818B8">
        <w:rPr>
          <w:b/>
          <w:i/>
          <w:sz w:val="28"/>
          <w:szCs w:val="28"/>
        </w:rPr>
        <w:t xml:space="preserve"> год</w:t>
      </w:r>
      <w:r w:rsidRPr="00F8229F">
        <w:rPr>
          <w:sz w:val="28"/>
          <w:szCs w:val="28"/>
        </w:rPr>
        <w:t>:</w:t>
      </w:r>
    </w:p>
    <w:p w:rsidR="00C2065A" w:rsidRPr="00F8229F" w:rsidRDefault="006C5FC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общий объем доходов в сумме </w:t>
      </w:r>
      <w:r w:rsidR="001C5CCB">
        <w:rPr>
          <w:sz w:val="28"/>
          <w:szCs w:val="28"/>
        </w:rPr>
        <w:t>10 910,6</w:t>
      </w:r>
      <w:r w:rsidR="00FB76E2" w:rsidRPr="00F8229F">
        <w:rPr>
          <w:sz w:val="28"/>
          <w:szCs w:val="28"/>
        </w:rPr>
        <w:t xml:space="preserve"> тыс. рублей</w:t>
      </w:r>
      <w:r w:rsidR="00FD57C8" w:rsidRPr="00F8229F">
        <w:rPr>
          <w:sz w:val="28"/>
          <w:szCs w:val="28"/>
        </w:rPr>
        <w:t>,</w:t>
      </w:r>
      <w:r w:rsidRPr="00F8229F">
        <w:rPr>
          <w:sz w:val="28"/>
          <w:szCs w:val="28"/>
        </w:rPr>
        <w:t xml:space="preserve"> </w:t>
      </w:r>
      <w:r w:rsidR="00C2065A" w:rsidRPr="00F8229F">
        <w:rPr>
          <w:sz w:val="28"/>
          <w:szCs w:val="28"/>
        </w:rPr>
        <w:t xml:space="preserve">что </w:t>
      </w:r>
      <w:r w:rsidR="001C5CCB">
        <w:rPr>
          <w:sz w:val="28"/>
          <w:szCs w:val="28"/>
        </w:rPr>
        <w:t>больше</w:t>
      </w:r>
      <w:r w:rsidR="00C2065A" w:rsidRPr="00F8229F">
        <w:rPr>
          <w:sz w:val="28"/>
          <w:szCs w:val="28"/>
        </w:rPr>
        <w:t xml:space="preserve"> ранее утвержденного объема </w:t>
      </w:r>
      <w:r w:rsidR="0045138F" w:rsidRPr="00F8229F">
        <w:rPr>
          <w:sz w:val="28"/>
          <w:szCs w:val="28"/>
        </w:rPr>
        <w:t>дох</w:t>
      </w:r>
      <w:r w:rsidR="00C2065A" w:rsidRPr="00F8229F">
        <w:rPr>
          <w:sz w:val="28"/>
          <w:szCs w:val="28"/>
        </w:rPr>
        <w:t xml:space="preserve">одов на </w:t>
      </w:r>
      <w:r w:rsidR="001C5CCB">
        <w:rPr>
          <w:sz w:val="28"/>
          <w:szCs w:val="28"/>
        </w:rPr>
        <w:t>650,1</w:t>
      </w:r>
      <w:r w:rsidR="00FB76E2" w:rsidRPr="00F8229F">
        <w:rPr>
          <w:sz w:val="28"/>
          <w:szCs w:val="28"/>
        </w:rPr>
        <w:t xml:space="preserve"> тыс. рублей</w:t>
      </w:r>
      <w:r w:rsidR="00C2065A" w:rsidRPr="00F8229F">
        <w:rPr>
          <w:sz w:val="28"/>
          <w:szCs w:val="28"/>
        </w:rPr>
        <w:t>;</w:t>
      </w:r>
    </w:p>
    <w:p w:rsidR="00330932" w:rsidRPr="00F8229F" w:rsidRDefault="00F8229F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</w:t>
      </w:r>
      <w:r w:rsidR="00FB76E2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 xml:space="preserve">общий объем расходов в сумме </w:t>
      </w:r>
      <w:r w:rsidR="00A07898" w:rsidRPr="00F8229F">
        <w:rPr>
          <w:sz w:val="28"/>
          <w:szCs w:val="28"/>
        </w:rPr>
        <w:t>1</w:t>
      </w:r>
      <w:r w:rsidR="001C5CCB">
        <w:rPr>
          <w:sz w:val="28"/>
          <w:szCs w:val="28"/>
        </w:rPr>
        <w:t>1 208,1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 xml:space="preserve">, что </w:t>
      </w:r>
      <w:r w:rsidR="001C5CCB">
        <w:rPr>
          <w:sz w:val="28"/>
          <w:szCs w:val="28"/>
        </w:rPr>
        <w:t>больше</w:t>
      </w:r>
      <w:r w:rsidR="006C5FCF" w:rsidRPr="00F8229F">
        <w:rPr>
          <w:sz w:val="28"/>
          <w:szCs w:val="28"/>
        </w:rPr>
        <w:t xml:space="preserve"> ранее утвержденного объема расходов на </w:t>
      </w:r>
      <w:r w:rsidR="001C5CCB">
        <w:rPr>
          <w:sz w:val="28"/>
          <w:szCs w:val="28"/>
        </w:rPr>
        <w:t>650,1</w:t>
      </w:r>
      <w:r w:rsidR="00FB76E2" w:rsidRPr="00F8229F">
        <w:rPr>
          <w:sz w:val="28"/>
          <w:szCs w:val="28"/>
        </w:rPr>
        <w:t xml:space="preserve"> тыс. рублей</w:t>
      </w:r>
      <w:r w:rsidR="006C5FCF" w:rsidRPr="00F8229F">
        <w:rPr>
          <w:sz w:val="28"/>
          <w:szCs w:val="28"/>
        </w:rPr>
        <w:t>;</w:t>
      </w:r>
    </w:p>
    <w:p w:rsidR="007F7BD7" w:rsidRPr="00F8229F" w:rsidRDefault="00FB76E2" w:rsidP="00097F82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в объем дефицита бюджета изменения не вносятся, </w:t>
      </w:r>
      <w:r w:rsidR="006C5FCF" w:rsidRPr="00F8229F">
        <w:rPr>
          <w:sz w:val="28"/>
          <w:szCs w:val="28"/>
        </w:rPr>
        <w:t>дефицит бюджета поселения</w:t>
      </w:r>
      <w:r w:rsidR="006D3F40" w:rsidRPr="00F8229F">
        <w:rPr>
          <w:sz w:val="28"/>
          <w:szCs w:val="28"/>
        </w:rPr>
        <w:t xml:space="preserve"> предусмотрен </w:t>
      </w:r>
      <w:r w:rsidR="006C5FCF" w:rsidRPr="00F8229F">
        <w:rPr>
          <w:sz w:val="28"/>
          <w:szCs w:val="28"/>
        </w:rPr>
        <w:t xml:space="preserve"> в сумме </w:t>
      </w:r>
      <w:r w:rsidR="00301642" w:rsidRPr="00F8229F">
        <w:rPr>
          <w:sz w:val="28"/>
          <w:szCs w:val="28"/>
        </w:rPr>
        <w:t>2</w:t>
      </w:r>
      <w:r w:rsidR="0055041D" w:rsidRPr="00F8229F">
        <w:rPr>
          <w:sz w:val="28"/>
          <w:szCs w:val="28"/>
        </w:rPr>
        <w:t>9</w:t>
      </w:r>
      <w:r w:rsidR="00301642" w:rsidRPr="00F8229F">
        <w:rPr>
          <w:sz w:val="28"/>
          <w:szCs w:val="28"/>
        </w:rPr>
        <w:t>7,</w:t>
      </w:r>
      <w:r w:rsidR="0055041D" w:rsidRPr="00F8229F">
        <w:rPr>
          <w:sz w:val="28"/>
          <w:szCs w:val="28"/>
        </w:rPr>
        <w:t>5</w:t>
      </w:r>
      <w:r w:rsidR="00E06FBF" w:rsidRPr="00F8229F">
        <w:rPr>
          <w:sz w:val="28"/>
          <w:szCs w:val="28"/>
        </w:rPr>
        <w:t xml:space="preserve"> </w:t>
      </w:r>
      <w:r w:rsidR="006C5FCF" w:rsidRPr="00F8229F">
        <w:rPr>
          <w:sz w:val="28"/>
          <w:szCs w:val="28"/>
        </w:rPr>
        <w:t>тыс. руб</w:t>
      </w:r>
      <w:r w:rsidR="009B18B2" w:rsidRPr="00F8229F">
        <w:rPr>
          <w:sz w:val="28"/>
          <w:szCs w:val="28"/>
        </w:rPr>
        <w:t>лей</w:t>
      </w:r>
      <w:r w:rsidR="006C5FCF" w:rsidRPr="00F8229F">
        <w:rPr>
          <w:sz w:val="28"/>
          <w:szCs w:val="28"/>
        </w:rPr>
        <w:t xml:space="preserve"> или </w:t>
      </w:r>
      <w:r w:rsidR="0055041D" w:rsidRPr="00F8229F">
        <w:rPr>
          <w:sz w:val="28"/>
          <w:szCs w:val="28"/>
        </w:rPr>
        <w:t>22</w:t>
      </w:r>
      <w:r w:rsidR="00301642" w:rsidRPr="00F8229F">
        <w:rPr>
          <w:sz w:val="28"/>
          <w:szCs w:val="28"/>
        </w:rPr>
        <w:t>,</w:t>
      </w:r>
      <w:r w:rsidR="0055041D" w:rsidRPr="00F8229F">
        <w:rPr>
          <w:sz w:val="28"/>
          <w:szCs w:val="28"/>
        </w:rPr>
        <w:t>7</w:t>
      </w:r>
      <w:r w:rsidR="006C5FCF" w:rsidRPr="00F8229F">
        <w:rPr>
          <w:sz w:val="28"/>
          <w:szCs w:val="28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F8229F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 w:rsidRPr="00F8229F">
        <w:rPr>
          <w:sz w:val="28"/>
          <w:szCs w:val="28"/>
        </w:rPr>
        <w:t>.</w:t>
      </w:r>
    </w:p>
    <w:p w:rsidR="000E4425" w:rsidRPr="000E4425" w:rsidRDefault="005818B8" w:rsidP="000E4425">
      <w:pPr>
        <w:ind w:firstLine="708"/>
        <w:jc w:val="both"/>
        <w:rPr>
          <w:sz w:val="28"/>
          <w:szCs w:val="28"/>
        </w:rPr>
      </w:pPr>
      <w:r w:rsidRPr="001938D5">
        <w:rPr>
          <w:b/>
          <w:i/>
          <w:sz w:val="28"/>
          <w:szCs w:val="28"/>
        </w:rPr>
        <w:t>на 2</w:t>
      </w:r>
      <w:r w:rsidRPr="005818B8">
        <w:rPr>
          <w:b/>
          <w:i/>
          <w:sz w:val="28"/>
          <w:szCs w:val="28"/>
        </w:rPr>
        <w:t>021 год</w:t>
      </w:r>
      <w:r>
        <w:rPr>
          <w:sz w:val="28"/>
          <w:szCs w:val="28"/>
        </w:rPr>
        <w:t>:</w:t>
      </w:r>
    </w:p>
    <w:p w:rsidR="00FE680F" w:rsidRPr="00F8229F" w:rsidRDefault="00FE680F" w:rsidP="00FE680F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- общий объем доходов в сумме </w:t>
      </w:r>
      <w:r>
        <w:rPr>
          <w:sz w:val="28"/>
          <w:szCs w:val="28"/>
        </w:rPr>
        <w:t>4 324,8</w:t>
      </w:r>
      <w:r w:rsidRPr="00F8229F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меньше</w:t>
      </w:r>
      <w:r w:rsidRPr="00F8229F">
        <w:rPr>
          <w:sz w:val="28"/>
          <w:szCs w:val="28"/>
        </w:rPr>
        <w:t xml:space="preserve"> ранее утвержденного объема доходов на </w:t>
      </w:r>
      <w:r>
        <w:rPr>
          <w:sz w:val="28"/>
          <w:szCs w:val="28"/>
        </w:rPr>
        <w:t>747,2</w:t>
      </w:r>
      <w:r w:rsidRPr="00F8229F">
        <w:rPr>
          <w:sz w:val="28"/>
          <w:szCs w:val="28"/>
        </w:rPr>
        <w:t xml:space="preserve"> тыс. рублей;</w:t>
      </w:r>
    </w:p>
    <w:p w:rsidR="00FE680F" w:rsidRPr="00F8229F" w:rsidRDefault="00FE680F" w:rsidP="00FE680F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общий объем расходов в сумме </w:t>
      </w:r>
      <w:r>
        <w:rPr>
          <w:sz w:val="28"/>
          <w:szCs w:val="28"/>
        </w:rPr>
        <w:t>4 324,8</w:t>
      </w:r>
      <w:r w:rsidRPr="00F8229F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меньше</w:t>
      </w:r>
      <w:r w:rsidRPr="00F8229F">
        <w:rPr>
          <w:sz w:val="28"/>
          <w:szCs w:val="28"/>
        </w:rPr>
        <w:t xml:space="preserve"> ранее утвержденного объема расходов на </w:t>
      </w:r>
      <w:r>
        <w:rPr>
          <w:sz w:val="28"/>
          <w:szCs w:val="28"/>
        </w:rPr>
        <w:t>747,2</w:t>
      </w:r>
      <w:r w:rsidRPr="00F8229F">
        <w:rPr>
          <w:sz w:val="28"/>
          <w:szCs w:val="28"/>
        </w:rPr>
        <w:t xml:space="preserve"> тыс. рублей;</w:t>
      </w:r>
    </w:p>
    <w:p w:rsidR="00681E55" w:rsidRDefault="00FE680F" w:rsidP="00FE680F">
      <w:pPr>
        <w:ind w:firstLine="708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в объем дефицита бюджета</w:t>
      </w:r>
      <w:r w:rsidR="00E87928">
        <w:rPr>
          <w:sz w:val="28"/>
          <w:szCs w:val="28"/>
        </w:rPr>
        <w:t xml:space="preserve"> </w:t>
      </w:r>
      <w:r w:rsidR="00E87928" w:rsidRPr="00F8229F">
        <w:rPr>
          <w:sz w:val="28"/>
          <w:szCs w:val="28"/>
        </w:rPr>
        <w:t xml:space="preserve">изменения не вносятся, дефицит бюджета поселения предусмотрен  в сумме </w:t>
      </w:r>
      <w:r w:rsidR="005818B8">
        <w:rPr>
          <w:sz w:val="28"/>
          <w:szCs w:val="28"/>
        </w:rPr>
        <w:t>0,0 тыс. рублей.</w:t>
      </w:r>
    </w:p>
    <w:p w:rsidR="005818B8" w:rsidRPr="000E4425" w:rsidRDefault="005818B8" w:rsidP="005818B8">
      <w:pPr>
        <w:ind w:firstLine="708"/>
        <w:jc w:val="both"/>
        <w:rPr>
          <w:sz w:val="28"/>
          <w:szCs w:val="28"/>
        </w:rPr>
      </w:pPr>
      <w:r w:rsidRPr="001938D5">
        <w:rPr>
          <w:b/>
          <w:i/>
          <w:sz w:val="28"/>
          <w:szCs w:val="28"/>
        </w:rPr>
        <w:t xml:space="preserve">на </w:t>
      </w:r>
      <w:r w:rsidRPr="005818B8">
        <w:rPr>
          <w:b/>
          <w:i/>
          <w:sz w:val="28"/>
          <w:szCs w:val="28"/>
        </w:rPr>
        <w:t>2022 год</w:t>
      </w:r>
      <w:r>
        <w:rPr>
          <w:sz w:val="28"/>
          <w:szCs w:val="28"/>
        </w:rPr>
        <w:t>:</w:t>
      </w:r>
    </w:p>
    <w:p w:rsidR="005818B8" w:rsidRPr="00F8229F" w:rsidRDefault="005818B8" w:rsidP="005818B8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- общий объем доходов в сумме </w:t>
      </w:r>
      <w:r>
        <w:rPr>
          <w:sz w:val="28"/>
          <w:szCs w:val="28"/>
        </w:rPr>
        <w:t>4 328,4</w:t>
      </w:r>
      <w:r w:rsidRPr="00F8229F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меньше</w:t>
      </w:r>
      <w:r w:rsidRPr="00F8229F">
        <w:rPr>
          <w:sz w:val="28"/>
          <w:szCs w:val="28"/>
        </w:rPr>
        <w:t xml:space="preserve"> ранее утвержденного объема доходов на </w:t>
      </w:r>
      <w:r>
        <w:rPr>
          <w:sz w:val="28"/>
          <w:szCs w:val="28"/>
        </w:rPr>
        <w:t>747,2</w:t>
      </w:r>
      <w:r w:rsidRPr="00F8229F">
        <w:rPr>
          <w:sz w:val="28"/>
          <w:szCs w:val="28"/>
        </w:rPr>
        <w:t xml:space="preserve"> тыс. рублей;</w:t>
      </w:r>
    </w:p>
    <w:p w:rsidR="005818B8" w:rsidRPr="00F8229F" w:rsidRDefault="005818B8" w:rsidP="005818B8">
      <w:pPr>
        <w:ind w:firstLine="709"/>
        <w:jc w:val="both"/>
        <w:rPr>
          <w:sz w:val="28"/>
          <w:szCs w:val="28"/>
        </w:rPr>
      </w:pPr>
      <w:r w:rsidRPr="00F8229F">
        <w:rPr>
          <w:sz w:val="28"/>
          <w:szCs w:val="28"/>
        </w:rPr>
        <w:t xml:space="preserve"> - общий объем расходов в сумме </w:t>
      </w:r>
      <w:r>
        <w:rPr>
          <w:sz w:val="28"/>
          <w:szCs w:val="28"/>
        </w:rPr>
        <w:t>4 328,4</w:t>
      </w:r>
      <w:r w:rsidRPr="00F8229F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меньше</w:t>
      </w:r>
      <w:r w:rsidRPr="00F8229F">
        <w:rPr>
          <w:sz w:val="28"/>
          <w:szCs w:val="28"/>
        </w:rPr>
        <w:t xml:space="preserve"> ранее утвержденного объема расходов на </w:t>
      </w:r>
      <w:r>
        <w:rPr>
          <w:sz w:val="28"/>
          <w:szCs w:val="28"/>
        </w:rPr>
        <w:t>747,2</w:t>
      </w:r>
      <w:r w:rsidRPr="00F8229F">
        <w:rPr>
          <w:sz w:val="28"/>
          <w:szCs w:val="28"/>
        </w:rPr>
        <w:t xml:space="preserve"> тыс. рублей;</w:t>
      </w:r>
    </w:p>
    <w:p w:rsidR="005818B8" w:rsidRDefault="005818B8" w:rsidP="005818B8">
      <w:pPr>
        <w:ind w:firstLine="708"/>
        <w:jc w:val="both"/>
        <w:rPr>
          <w:b/>
          <w:sz w:val="28"/>
          <w:szCs w:val="28"/>
        </w:rPr>
      </w:pPr>
      <w:r w:rsidRPr="00F8229F">
        <w:rPr>
          <w:sz w:val="28"/>
          <w:szCs w:val="28"/>
        </w:rPr>
        <w:t xml:space="preserve"> - в объем дефицита бюджета</w:t>
      </w:r>
      <w:r>
        <w:rPr>
          <w:sz w:val="28"/>
          <w:szCs w:val="28"/>
        </w:rPr>
        <w:t xml:space="preserve"> </w:t>
      </w:r>
      <w:r w:rsidRPr="00F8229F">
        <w:rPr>
          <w:sz w:val="28"/>
          <w:szCs w:val="28"/>
        </w:rPr>
        <w:t xml:space="preserve">изменения не вносятся, дефицит бюджета поселения предусмотрен  в сумме </w:t>
      </w:r>
      <w:r>
        <w:rPr>
          <w:sz w:val="28"/>
          <w:szCs w:val="28"/>
        </w:rPr>
        <w:t>0,0 тыс. рублей.</w:t>
      </w:r>
    </w:p>
    <w:p w:rsidR="00A53136" w:rsidRDefault="00A53136" w:rsidP="00237DF1">
      <w:pPr>
        <w:ind w:firstLine="708"/>
        <w:jc w:val="both"/>
        <w:rPr>
          <w:b/>
          <w:i/>
          <w:sz w:val="28"/>
          <w:szCs w:val="28"/>
        </w:rPr>
      </w:pPr>
    </w:p>
    <w:p w:rsidR="00D5614F" w:rsidRPr="003662BF" w:rsidRDefault="006565B6" w:rsidP="00237DF1">
      <w:pPr>
        <w:ind w:firstLine="708"/>
        <w:jc w:val="both"/>
        <w:rPr>
          <w:sz w:val="28"/>
          <w:szCs w:val="28"/>
        </w:rPr>
      </w:pPr>
      <w:r w:rsidRPr="00681E55">
        <w:rPr>
          <w:b/>
          <w:i/>
          <w:sz w:val="28"/>
          <w:szCs w:val="28"/>
        </w:rPr>
        <w:t>П</w:t>
      </w:r>
      <w:r w:rsidR="00D5614F" w:rsidRPr="00681E55">
        <w:rPr>
          <w:b/>
          <w:i/>
          <w:sz w:val="28"/>
          <w:szCs w:val="28"/>
        </w:rPr>
        <w:t>риложени</w:t>
      </w:r>
      <w:r w:rsidRPr="00681E55">
        <w:rPr>
          <w:b/>
          <w:i/>
          <w:sz w:val="28"/>
          <w:szCs w:val="28"/>
        </w:rPr>
        <w:t>е</w:t>
      </w:r>
      <w:r w:rsidR="00D5614F" w:rsidRPr="00681E55">
        <w:rPr>
          <w:b/>
          <w:i/>
          <w:sz w:val="28"/>
          <w:szCs w:val="28"/>
        </w:rPr>
        <w:t xml:space="preserve"> 1</w:t>
      </w:r>
      <w:r w:rsidR="00D5614F" w:rsidRPr="003662BF">
        <w:rPr>
          <w:sz w:val="28"/>
          <w:szCs w:val="28"/>
        </w:rPr>
        <w:t xml:space="preserve"> «Источники внутреннего финансирования дефицита бюджета поселения на 20</w:t>
      </w:r>
      <w:r w:rsidR="003753C9" w:rsidRPr="003662BF">
        <w:rPr>
          <w:sz w:val="28"/>
          <w:szCs w:val="28"/>
        </w:rPr>
        <w:t>20</w:t>
      </w:r>
      <w:r w:rsidR="00D5614F" w:rsidRPr="003662BF">
        <w:rPr>
          <w:sz w:val="28"/>
          <w:szCs w:val="28"/>
        </w:rPr>
        <w:t xml:space="preserve"> год</w:t>
      </w:r>
      <w:r w:rsidR="00EE3E6F" w:rsidRPr="003662BF">
        <w:rPr>
          <w:sz w:val="28"/>
          <w:szCs w:val="28"/>
        </w:rPr>
        <w:t xml:space="preserve"> и плановый период 20</w:t>
      </w:r>
      <w:r w:rsidR="008B7B13" w:rsidRPr="003662BF">
        <w:rPr>
          <w:sz w:val="28"/>
          <w:szCs w:val="28"/>
        </w:rPr>
        <w:t>2</w:t>
      </w:r>
      <w:r w:rsidR="003753C9" w:rsidRPr="003662BF">
        <w:rPr>
          <w:sz w:val="28"/>
          <w:szCs w:val="28"/>
        </w:rPr>
        <w:t>1</w:t>
      </w:r>
      <w:r w:rsidR="00EE3E6F" w:rsidRPr="003662BF">
        <w:rPr>
          <w:sz w:val="28"/>
          <w:szCs w:val="28"/>
        </w:rPr>
        <w:t xml:space="preserve"> и 202</w:t>
      </w:r>
      <w:r w:rsidR="003753C9" w:rsidRPr="003662BF">
        <w:rPr>
          <w:sz w:val="28"/>
          <w:szCs w:val="28"/>
        </w:rPr>
        <w:t>2</w:t>
      </w:r>
      <w:r w:rsidR="00EE3E6F" w:rsidRPr="003662BF">
        <w:rPr>
          <w:sz w:val="28"/>
          <w:szCs w:val="28"/>
        </w:rPr>
        <w:t xml:space="preserve"> годов</w:t>
      </w:r>
      <w:r w:rsidR="00D5614F" w:rsidRPr="003662BF">
        <w:rPr>
          <w:sz w:val="28"/>
          <w:szCs w:val="28"/>
        </w:rPr>
        <w:t xml:space="preserve">» </w:t>
      </w:r>
      <w:r w:rsidRPr="003662BF">
        <w:rPr>
          <w:sz w:val="28"/>
          <w:szCs w:val="28"/>
        </w:rPr>
        <w:t>предлагается изложить в новой редакции.</w:t>
      </w:r>
      <w:r w:rsidR="009B18B2" w:rsidRPr="003662BF">
        <w:rPr>
          <w:sz w:val="28"/>
          <w:szCs w:val="28"/>
        </w:rPr>
        <w:t xml:space="preserve"> </w:t>
      </w:r>
    </w:p>
    <w:p w:rsidR="00D5614F" w:rsidRPr="003662BF" w:rsidRDefault="002105F8" w:rsidP="00FB76E2">
      <w:pPr>
        <w:ind w:firstLine="708"/>
        <w:jc w:val="both"/>
        <w:rPr>
          <w:sz w:val="28"/>
          <w:szCs w:val="28"/>
        </w:rPr>
      </w:pPr>
      <w:r w:rsidRPr="003662BF">
        <w:rPr>
          <w:sz w:val="28"/>
          <w:szCs w:val="28"/>
        </w:rPr>
        <w:t>П</w:t>
      </w:r>
      <w:r w:rsidR="00D5614F" w:rsidRPr="003662BF">
        <w:rPr>
          <w:sz w:val="28"/>
          <w:szCs w:val="28"/>
        </w:rPr>
        <w:t>редусмотрено изменение остатков средств на счетах по учету средств бюджета поселения</w:t>
      </w:r>
      <w:r w:rsidR="00D41C35" w:rsidRPr="003662BF">
        <w:rPr>
          <w:sz w:val="28"/>
          <w:szCs w:val="28"/>
        </w:rPr>
        <w:t>, дефицит</w:t>
      </w:r>
      <w:r w:rsidR="00A53136">
        <w:rPr>
          <w:sz w:val="28"/>
          <w:szCs w:val="28"/>
        </w:rPr>
        <w:t xml:space="preserve"> на 2020 год</w:t>
      </w:r>
      <w:r w:rsidR="00D41C35" w:rsidRPr="003662BF">
        <w:rPr>
          <w:sz w:val="28"/>
          <w:szCs w:val="28"/>
        </w:rPr>
        <w:t xml:space="preserve"> в размере </w:t>
      </w:r>
      <w:r w:rsidR="00F270E9" w:rsidRPr="003662BF">
        <w:rPr>
          <w:sz w:val="28"/>
          <w:szCs w:val="28"/>
        </w:rPr>
        <w:t>2</w:t>
      </w:r>
      <w:r w:rsidR="0037352A" w:rsidRPr="003662BF">
        <w:rPr>
          <w:sz w:val="28"/>
          <w:szCs w:val="28"/>
        </w:rPr>
        <w:t>9</w:t>
      </w:r>
      <w:r w:rsidR="00F270E9" w:rsidRPr="003662BF">
        <w:rPr>
          <w:sz w:val="28"/>
          <w:szCs w:val="28"/>
        </w:rPr>
        <w:t>7,</w:t>
      </w:r>
      <w:r w:rsidR="0037352A" w:rsidRPr="003662BF">
        <w:rPr>
          <w:sz w:val="28"/>
          <w:szCs w:val="28"/>
        </w:rPr>
        <w:t>5</w:t>
      </w:r>
      <w:r w:rsidR="00D41C35" w:rsidRPr="003662BF">
        <w:rPr>
          <w:sz w:val="28"/>
          <w:szCs w:val="28"/>
        </w:rPr>
        <w:t xml:space="preserve"> тыс. руб</w:t>
      </w:r>
      <w:r w:rsidR="007E3384" w:rsidRPr="003662BF">
        <w:rPr>
          <w:sz w:val="28"/>
          <w:szCs w:val="28"/>
        </w:rPr>
        <w:t>лей</w:t>
      </w:r>
      <w:r w:rsidR="00D41C35" w:rsidRPr="003662BF">
        <w:rPr>
          <w:sz w:val="28"/>
          <w:szCs w:val="28"/>
        </w:rPr>
        <w:t>.</w:t>
      </w:r>
    </w:p>
    <w:p w:rsidR="00AF03E2" w:rsidRPr="003662BF" w:rsidRDefault="00D5614F" w:rsidP="00FB76E2">
      <w:pPr>
        <w:ind w:firstLine="708"/>
        <w:jc w:val="both"/>
        <w:rPr>
          <w:sz w:val="28"/>
          <w:szCs w:val="28"/>
        </w:rPr>
      </w:pPr>
      <w:r w:rsidRPr="003662BF">
        <w:rPr>
          <w:sz w:val="28"/>
          <w:szCs w:val="28"/>
        </w:rPr>
        <w:t>Нарушений ст.92</w:t>
      </w:r>
      <w:r w:rsidR="00B2570D" w:rsidRPr="003662BF">
        <w:rPr>
          <w:sz w:val="28"/>
          <w:szCs w:val="28"/>
        </w:rPr>
        <w:t>.1</w:t>
      </w:r>
      <w:r w:rsidRPr="003662BF">
        <w:rPr>
          <w:sz w:val="28"/>
          <w:szCs w:val="28"/>
        </w:rPr>
        <w:t xml:space="preserve"> и </w:t>
      </w:r>
      <w:r w:rsidR="00AF03E2" w:rsidRPr="003662BF">
        <w:rPr>
          <w:sz w:val="28"/>
          <w:szCs w:val="28"/>
        </w:rPr>
        <w:t>ст.</w:t>
      </w:r>
      <w:r w:rsidRPr="003662BF">
        <w:rPr>
          <w:sz w:val="28"/>
          <w:szCs w:val="28"/>
        </w:rPr>
        <w:t>9</w:t>
      </w:r>
      <w:r w:rsidR="00AF03E2" w:rsidRPr="003662BF">
        <w:rPr>
          <w:sz w:val="28"/>
          <w:szCs w:val="28"/>
        </w:rPr>
        <w:t xml:space="preserve">6 Бюджетного кодекса РФ </w:t>
      </w:r>
      <w:r w:rsidR="00D41C35" w:rsidRPr="003662BF">
        <w:rPr>
          <w:sz w:val="28"/>
          <w:szCs w:val="28"/>
        </w:rPr>
        <w:t xml:space="preserve">при установлении размера дефицита </w:t>
      </w:r>
      <w:r w:rsidR="00AF03E2" w:rsidRPr="003662BF">
        <w:rPr>
          <w:sz w:val="28"/>
          <w:szCs w:val="28"/>
        </w:rPr>
        <w:t>не установлено.</w:t>
      </w:r>
    </w:p>
    <w:p w:rsidR="00681E55" w:rsidRDefault="00681E55" w:rsidP="00237DF1">
      <w:pPr>
        <w:ind w:firstLine="708"/>
        <w:jc w:val="both"/>
        <w:rPr>
          <w:b/>
          <w:i/>
          <w:sz w:val="28"/>
          <w:szCs w:val="28"/>
        </w:rPr>
      </w:pPr>
    </w:p>
    <w:p w:rsidR="004A7479" w:rsidRPr="00591048" w:rsidRDefault="00EC371D" w:rsidP="00237DF1">
      <w:pPr>
        <w:ind w:firstLine="708"/>
        <w:jc w:val="both"/>
        <w:rPr>
          <w:sz w:val="28"/>
          <w:szCs w:val="28"/>
        </w:rPr>
      </w:pPr>
      <w:r w:rsidRPr="00591048">
        <w:rPr>
          <w:b/>
          <w:i/>
          <w:sz w:val="28"/>
          <w:szCs w:val="28"/>
        </w:rPr>
        <w:t>Приложение 2</w:t>
      </w:r>
      <w:r w:rsidR="00143155" w:rsidRPr="00591048">
        <w:rPr>
          <w:b/>
          <w:i/>
          <w:sz w:val="28"/>
          <w:szCs w:val="28"/>
        </w:rPr>
        <w:t xml:space="preserve"> </w:t>
      </w:r>
      <w:r w:rsidRPr="00591048">
        <w:rPr>
          <w:sz w:val="28"/>
          <w:szCs w:val="28"/>
        </w:rPr>
        <w:t xml:space="preserve"> «Объем доходов бюджета </w:t>
      </w:r>
      <w:r w:rsidR="00533A4C" w:rsidRPr="00591048">
        <w:rPr>
          <w:sz w:val="28"/>
          <w:szCs w:val="28"/>
        </w:rPr>
        <w:t>Шольского</w:t>
      </w:r>
      <w:r w:rsidR="003F2E9D" w:rsidRPr="00591048">
        <w:rPr>
          <w:sz w:val="28"/>
          <w:szCs w:val="28"/>
        </w:rPr>
        <w:t xml:space="preserve"> сельского поселения</w:t>
      </w:r>
      <w:r w:rsidRPr="00591048">
        <w:rPr>
          <w:sz w:val="28"/>
          <w:szCs w:val="28"/>
        </w:rPr>
        <w:t xml:space="preserve"> на 20</w:t>
      </w:r>
      <w:r w:rsidR="001B27DA" w:rsidRPr="00591048">
        <w:rPr>
          <w:sz w:val="28"/>
          <w:szCs w:val="28"/>
        </w:rPr>
        <w:t>20</w:t>
      </w:r>
      <w:r w:rsidRPr="00591048">
        <w:rPr>
          <w:sz w:val="28"/>
          <w:szCs w:val="28"/>
        </w:rPr>
        <w:t xml:space="preserve"> год</w:t>
      </w:r>
      <w:r w:rsidR="00797B47" w:rsidRPr="00591048">
        <w:rPr>
          <w:sz w:val="28"/>
          <w:szCs w:val="28"/>
        </w:rPr>
        <w:t xml:space="preserve"> и плановый период 20</w:t>
      </w:r>
      <w:r w:rsidR="00CE2294" w:rsidRPr="00591048">
        <w:rPr>
          <w:sz w:val="28"/>
          <w:szCs w:val="28"/>
        </w:rPr>
        <w:t>2</w:t>
      </w:r>
      <w:r w:rsidR="001B27DA" w:rsidRPr="00591048">
        <w:rPr>
          <w:sz w:val="28"/>
          <w:szCs w:val="28"/>
        </w:rPr>
        <w:t>1</w:t>
      </w:r>
      <w:r w:rsidR="00797B47" w:rsidRPr="00591048">
        <w:rPr>
          <w:sz w:val="28"/>
          <w:szCs w:val="28"/>
        </w:rPr>
        <w:t xml:space="preserve"> и 202</w:t>
      </w:r>
      <w:r w:rsidR="001B27DA" w:rsidRPr="00591048">
        <w:rPr>
          <w:sz w:val="28"/>
          <w:szCs w:val="28"/>
        </w:rPr>
        <w:t>2</w:t>
      </w:r>
      <w:r w:rsidR="00797B47" w:rsidRPr="00591048">
        <w:rPr>
          <w:sz w:val="28"/>
          <w:szCs w:val="28"/>
        </w:rPr>
        <w:t xml:space="preserve"> годов</w:t>
      </w:r>
      <w:r w:rsidRPr="00591048">
        <w:rPr>
          <w:sz w:val="28"/>
          <w:szCs w:val="28"/>
        </w:rPr>
        <w:t>, формируемый за счет налоговых и неналоговых доходов, а также безвозмездных поступле</w:t>
      </w:r>
      <w:r w:rsidR="004D17DC" w:rsidRPr="00591048">
        <w:rPr>
          <w:sz w:val="28"/>
          <w:szCs w:val="28"/>
        </w:rPr>
        <w:t>ний» изложить в новой редакции, а именно:</w:t>
      </w:r>
    </w:p>
    <w:p w:rsidR="004D17DC" w:rsidRPr="00DB17C4" w:rsidRDefault="004A2A08" w:rsidP="00EF4BC4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A2A08">
        <w:rPr>
          <w:sz w:val="28"/>
          <w:szCs w:val="28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 корректировки по видам  налогов</w:t>
      </w:r>
      <w:r w:rsidR="004D17DC" w:rsidRPr="00DB17C4">
        <w:rPr>
          <w:sz w:val="28"/>
          <w:szCs w:val="28"/>
        </w:rPr>
        <w:t>:</w:t>
      </w:r>
    </w:p>
    <w:p w:rsidR="00AD6380" w:rsidRDefault="00AD6380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4"/>
        <w:gridCol w:w="1031"/>
        <w:gridCol w:w="1030"/>
        <w:gridCol w:w="1030"/>
        <w:gridCol w:w="867"/>
        <w:gridCol w:w="867"/>
        <w:gridCol w:w="867"/>
        <w:gridCol w:w="1055"/>
        <w:gridCol w:w="1055"/>
        <w:gridCol w:w="1055"/>
      </w:tblGrid>
      <w:tr w:rsidR="001938D5" w:rsidRPr="001938D5" w:rsidTr="001938D5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CA77D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CA77D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20.11.2020</w:t>
            </w:r>
            <w:proofErr w:type="gramEnd"/>
          </w:p>
          <w:p w:rsidR="001938D5" w:rsidRPr="001938D5" w:rsidRDefault="001938D5" w:rsidP="00590C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20.11.2020</w:t>
            </w:r>
            <w:proofErr w:type="gramEnd"/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20.11.2020</w:t>
            </w:r>
            <w:proofErr w:type="gramEnd"/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Поправки 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Поправки 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Поправки 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1938D5" w:rsidRPr="001938D5" w:rsidRDefault="001938D5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938D5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1938D5" w:rsidRPr="001938D5" w:rsidRDefault="001938D5" w:rsidP="001938D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38D5" w:rsidRPr="001938D5" w:rsidRDefault="001938D5" w:rsidP="00DC399B">
            <w:pPr>
              <w:jc w:val="center"/>
              <w:rPr>
                <w:sz w:val="18"/>
                <w:szCs w:val="18"/>
              </w:rPr>
            </w:pP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b/>
                <w:sz w:val="18"/>
                <w:szCs w:val="18"/>
              </w:rPr>
            </w:pPr>
            <w:r w:rsidRPr="001938D5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  <w:r w:rsidRPr="001938D5">
              <w:rPr>
                <w:b/>
                <w:sz w:val="18"/>
                <w:szCs w:val="18"/>
              </w:rPr>
              <w:t>1 313,0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  <w:r w:rsidRPr="001938D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b/>
                <w:sz w:val="18"/>
                <w:szCs w:val="18"/>
              </w:rPr>
            </w:pPr>
            <w:r w:rsidRPr="001938D5">
              <w:rPr>
                <w:b/>
                <w:sz w:val="18"/>
                <w:szCs w:val="18"/>
              </w:rPr>
              <w:t>1 313,0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844,7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-37,1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807,6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275,7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+14,7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290,4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38,0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+10,8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49,0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+5,2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54,2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+6,4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21,4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38D5" w:rsidRPr="001938D5" w:rsidTr="001938D5">
        <w:tc>
          <w:tcPr>
            <w:tcW w:w="0" w:type="auto"/>
            <w:shd w:val="clear" w:color="auto" w:fill="auto"/>
          </w:tcPr>
          <w:p w:rsidR="001938D5" w:rsidRPr="001938D5" w:rsidRDefault="001938D5" w:rsidP="00034555">
            <w:pPr>
              <w:jc w:val="both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 w:rsidRPr="001938D5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0" w:type="auto"/>
            <w:vAlign w:val="center"/>
          </w:tcPr>
          <w:p w:rsidR="001938D5" w:rsidRPr="001938D5" w:rsidRDefault="001938D5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C94065" w:rsidRPr="001938D5" w:rsidTr="001938D5">
        <w:tc>
          <w:tcPr>
            <w:tcW w:w="0" w:type="auto"/>
            <w:shd w:val="clear" w:color="auto" w:fill="auto"/>
          </w:tcPr>
          <w:p w:rsidR="00C94065" w:rsidRPr="00C94065" w:rsidRDefault="00C94065" w:rsidP="00034555">
            <w:pPr>
              <w:jc w:val="both"/>
              <w:rPr>
                <w:b/>
                <w:sz w:val="18"/>
                <w:szCs w:val="18"/>
              </w:rPr>
            </w:pPr>
            <w:r w:rsidRPr="00C94065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065" w:rsidRPr="00C94065" w:rsidRDefault="009941F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62D79">
              <w:rPr>
                <w:b/>
                <w:sz w:val="18"/>
                <w:szCs w:val="18"/>
              </w:rPr>
              <w:t> 947,5</w:t>
            </w:r>
          </w:p>
        </w:tc>
        <w:tc>
          <w:tcPr>
            <w:tcW w:w="0" w:type="auto"/>
            <w:vAlign w:val="center"/>
          </w:tcPr>
          <w:p w:rsidR="00C94065" w:rsidRPr="00C94065" w:rsidRDefault="009941F7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4 522,0</w:t>
            </w:r>
          </w:p>
        </w:tc>
        <w:tc>
          <w:tcPr>
            <w:tcW w:w="0" w:type="auto"/>
            <w:vAlign w:val="center"/>
          </w:tcPr>
          <w:p w:rsidR="00C94065" w:rsidRPr="00C94065" w:rsidRDefault="009941F7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4 520,6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065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+650,1</w:t>
            </w:r>
          </w:p>
        </w:tc>
        <w:tc>
          <w:tcPr>
            <w:tcW w:w="0" w:type="auto"/>
            <w:vAlign w:val="center"/>
          </w:tcPr>
          <w:p w:rsidR="00C94065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0" w:type="auto"/>
            <w:vAlign w:val="center"/>
          </w:tcPr>
          <w:p w:rsidR="00C94065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065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9 597,6</w:t>
            </w:r>
          </w:p>
        </w:tc>
        <w:tc>
          <w:tcPr>
            <w:tcW w:w="0" w:type="auto"/>
            <w:vAlign w:val="center"/>
          </w:tcPr>
          <w:p w:rsidR="00C94065" w:rsidRPr="00C94065" w:rsidRDefault="00B07A6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3 774,8</w:t>
            </w:r>
          </w:p>
        </w:tc>
        <w:tc>
          <w:tcPr>
            <w:tcW w:w="0" w:type="auto"/>
            <w:vAlign w:val="center"/>
          </w:tcPr>
          <w:p w:rsidR="00C94065" w:rsidRPr="00C94065" w:rsidRDefault="00B07A6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3 773,4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F709DA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1 038,8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1 101,1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1 038,8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1 101,1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1 169,2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F709DA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3 173,3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2 577,3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3 173,3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2 577,3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2 504,2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F709DA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1 978,3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+154,1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-747,2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2 132,4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F709DA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F709DA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2 555,2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+496,0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3 051,2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Default="006439A7" w:rsidP="00DB0A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Default="006439A7" w:rsidP="00193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0" w:type="auto"/>
            <w:vAlign w:val="center"/>
          </w:tcPr>
          <w:p w:rsidR="006439A7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439A7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39A7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0" w:type="auto"/>
            <w:vAlign w:val="center"/>
          </w:tcPr>
          <w:p w:rsidR="006439A7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439A7" w:rsidRDefault="006439A7" w:rsidP="00DB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39A7" w:rsidRPr="001938D5" w:rsidTr="001938D5">
        <w:tc>
          <w:tcPr>
            <w:tcW w:w="0" w:type="auto"/>
            <w:shd w:val="clear" w:color="auto" w:fill="auto"/>
          </w:tcPr>
          <w:p w:rsidR="006439A7" w:rsidRPr="00C94065" w:rsidRDefault="006439A7" w:rsidP="00DB0AF7">
            <w:pPr>
              <w:jc w:val="both"/>
              <w:rPr>
                <w:b/>
                <w:sz w:val="18"/>
                <w:szCs w:val="18"/>
              </w:rPr>
            </w:pPr>
            <w:r w:rsidRPr="00C9406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10 260,5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5 072,0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DB0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5 075,6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+650,1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0" w:type="auto"/>
            <w:vAlign w:val="center"/>
          </w:tcPr>
          <w:p w:rsidR="006439A7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39A7" w:rsidRPr="00C94065" w:rsidRDefault="006439A7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10 910,6</w:t>
            </w:r>
          </w:p>
        </w:tc>
        <w:tc>
          <w:tcPr>
            <w:tcW w:w="0" w:type="auto"/>
            <w:vAlign w:val="center"/>
          </w:tcPr>
          <w:p w:rsidR="006439A7" w:rsidRPr="00C94065" w:rsidRDefault="00B07A6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4 324,8</w:t>
            </w:r>
          </w:p>
        </w:tc>
        <w:tc>
          <w:tcPr>
            <w:tcW w:w="0" w:type="auto"/>
            <w:vAlign w:val="center"/>
          </w:tcPr>
          <w:p w:rsidR="006439A7" w:rsidRPr="00C94065" w:rsidRDefault="00B07A65" w:rsidP="001938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4 328,4</w:t>
            </w:r>
          </w:p>
        </w:tc>
      </w:tr>
    </w:tbl>
    <w:p w:rsidR="00E71885" w:rsidRDefault="00E71885" w:rsidP="00E71885">
      <w:pPr>
        <w:jc w:val="both"/>
        <w:rPr>
          <w:sz w:val="28"/>
          <w:szCs w:val="28"/>
        </w:rPr>
      </w:pPr>
    </w:p>
    <w:p w:rsidR="00997E08" w:rsidRPr="00997E08" w:rsidRDefault="00997E08" w:rsidP="00E71885">
      <w:pPr>
        <w:ind w:firstLine="708"/>
        <w:jc w:val="both"/>
        <w:rPr>
          <w:sz w:val="28"/>
          <w:szCs w:val="28"/>
        </w:rPr>
      </w:pPr>
      <w:r w:rsidRPr="00997E08">
        <w:rPr>
          <w:sz w:val="28"/>
          <w:szCs w:val="28"/>
        </w:rPr>
        <w:t xml:space="preserve">Проектом  предлагается  </w:t>
      </w:r>
      <w:r w:rsidR="004A64AE">
        <w:rPr>
          <w:sz w:val="28"/>
          <w:szCs w:val="28"/>
        </w:rPr>
        <w:t>увеличить</w:t>
      </w:r>
      <w:r w:rsidRPr="00997E08">
        <w:rPr>
          <w:sz w:val="28"/>
          <w:szCs w:val="28"/>
        </w:rPr>
        <w:t xml:space="preserve"> объем безвозмездных поступлений на 2020 год  на </w:t>
      </w:r>
      <w:r w:rsidR="004A64AE">
        <w:rPr>
          <w:sz w:val="28"/>
          <w:szCs w:val="28"/>
        </w:rPr>
        <w:t>650,1</w:t>
      </w:r>
      <w:r w:rsidRPr="00997E08">
        <w:rPr>
          <w:sz w:val="28"/>
          <w:szCs w:val="28"/>
        </w:rPr>
        <w:t xml:space="preserve"> тыс. рублей,  в том числе за счет:</w:t>
      </w:r>
    </w:p>
    <w:p w:rsidR="00AD6380" w:rsidRDefault="007F618C" w:rsidP="00AD4C77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</w:t>
      </w:r>
      <w:r w:rsidR="00505395" w:rsidRPr="00AD638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ежбюджетного трансферта </w:t>
      </w:r>
      <w:r w:rsidR="004A64AE">
        <w:rPr>
          <w:sz w:val="28"/>
          <w:szCs w:val="28"/>
        </w:rPr>
        <w:t>496,0</w:t>
      </w:r>
      <w:r w:rsidR="00A327A7" w:rsidRPr="00AD63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</w:t>
      </w:r>
      <w:r w:rsidR="00A327A7" w:rsidRPr="00AD6380">
        <w:rPr>
          <w:sz w:val="28"/>
          <w:szCs w:val="28"/>
        </w:rPr>
        <w:t xml:space="preserve"> на </w:t>
      </w:r>
      <w:r w:rsidR="00A46661">
        <w:rPr>
          <w:sz w:val="28"/>
          <w:szCs w:val="28"/>
        </w:rPr>
        <w:t>исполнение полномочий по дорожной деятельности</w:t>
      </w:r>
      <w:r>
        <w:rPr>
          <w:sz w:val="28"/>
          <w:szCs w:val="28"/>
        </w:rPr>
        <w:t>,</w:t>
      </w:r>
      <w:r w:rsidR="00AD4C77" w:rsidRPr="00AD6380">
        <w:rPr>
          <w:sz w:val="28"/>
          <w:szCs w:val="28"/>
        </w:rPr>
        <w:t xml:space="preserve"> </w:t>
      </w:r>
      <w:r w:rsidR="00A46661">
        <w:rPr>
          <w:sz w:val="28"/>
          <w:szCs w:val="28"/>
        </w:rPr>
        <w:t>450,0</w:t>
      </w:r>
      <w:r w:rsidR="00AD4C77" w:rsidRPr="00AD6380">
        <w:rPr>
          <w:sz w:val="28"/>
          <w:szCs w:val="28"/>
        </w:rPr>
        <w:t xml:space="preserve"> тыс. рублей, на </w:t>
      </w:r>
      <w:r w:rsidR="004F02F0">
        <w:rPr>
          <w:sz w:val="28"/>
          <w:szCs w:val="28"/>
        </w:rPr>
        <w:t>коммунальное хозяйство 46,0</w:t>
      </w:r>
      <w:r w:rsidR="00AD4C77" w:rsidRPr="00AD6380">
        <w:rPr>
          <w:sz w:val="28"/>
          <w:szCs w:val="28"/>
        </w:rPr>
        <w:t xml:space="preserve"> тыс. рублей</w:t>
      </w:r>
      <w:r w:rsidR="00A327A7" w:rsidRPr="00AD6380">
        <w:rPr>
          <w:sz w:val="28"/>
          <w:szCs w:val="28"/>
        </w:rPr>
        <w:t xml:space="preserve">. Основанием является уведомление </w:t>
      </w:r>
      <w:r w:rsidR="00A327A7" w:rsidRPr="00AD6380">
        <w:rPr>
          <w:sz w:val="28"/>
          <w:szCs w:val="28"/>
        </w:rPr>
        <w:lastRenderedPageBreak/>
        <w:t>Финансового управления района</w:t>
      </w:r>
      <w:r w:rsidR="00AD4C77" w:rsidRPr="00AD6380">
        <w:rPr>
          <w:sz w:val="28"/>
          <w:szCs w:val="28"/>
        </w:rPr>
        <w:t xml:space="preserve"> от </w:t>
      </w:r>
      <w:r w:rsidR="004F02F0">
        <w:rPr>
          <w:sz w:val="28"/>
          <w:szCs w:val="28"/>
        </w:rPr>
        <w:t>24.</w:t>
      </w:r>
      <w:r w:rsidR="00AD4C77" w:rsidRPr="00AD6380">
        <w:rPr>
          <w:sz w:val="28"/>
          <w:szCs w:val="28"/>
        </w:rPr>
        <w:t>1</w:t>
      </w:r>
      <w:r w:rsidR="004F02F0">
        <w:rPr>
          <w:sz w:val="28"/>
          <w:szCs w:val="28"/>
        </w:rPr>
        <w:t>2</w:t>
      </w:r>
      <w:r w:rsidR="00AD4C77" w:rsidRPr="00AD6380">
        <w:rPr>
          <w:sz w:val="28"/>
          <w:szCs w:val="28"/>
        </w:rPr>
        <w:t>.2020 №</w:t>
      </w:r>
      <w:r w:rsidR="004F02F0">
        <w:rPr>
          <w:sz w:val="28"/>
          <w:szCs w:val="28"/>
        </w:rPr>
        <w:t>23,25</w:t>
      </w:r>
      <w:r w:rsidR="00AD6380">
        <w:rPr>
          <w:sz w:val="28"/>
          <w:szCs w:val="28"/>
        </w:rPr>
        <w:t>;</w:t>
      </w:r>
    </w:p>
    <w:p w:rsidR="00086FDA" w:rsidRDefault="00AD4C77" w:rsidP="00086FDA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D6380">
        <w:rPr>
          <w:sz w:val="28"/>
          <w:szCs w:val="28"/>
        </w:rPr>
        <w:t xml:space="preserve"> </w:t>
      </w:r>
      <w:r w:rsidR="00E01AE2">
        <w:rPr>
          <w:sz w:val="28"/>
          <w:szCs w:val="28"/>
        </w:rPr>
        <w:t>увеличение</w:t>
      </w:r>
      <w:r w:rsidRPr="00AD6380">
        <w:rPr>
          <w:sz w:val="28"/>
          <w:szCs w:val="28"/>
        </w:rPr>
        <w:t xml:space="preserve"> объема </w:t>
      </w:r>
      <w:r w:rsidR="00F2183C" w:rsidRPr="00AD6380">
        <w:rPr>
          <w:sz w:val="28"/>
          <w:szCs w:val="28"/>
        </w:rPr>
        <w:t xml:space="preserve">прочей </w:t>
      </w:r>
      <w:r w:rsidRPr="00AD6380">
        <w:rPr>
          <w:sz w:val="28"/>
          <w:szCs w:val="28"/>
        </w:rPr>
        <w:t xml:space="preserve">субсидии </w:t>
      </w:r>
      <w:r w:rsidR="00F2183C" w:rsidRPr="00AD6380">
        <w:rPr>
          <w:sz w:val="28"/>
          <w:szCs w:val="28"/>
        </w:rPr>
        <w:t xml:space="preserve">бюджетам сельских поселений на сумму </w:t>
      </w:r>
      <w:r w:rsidR="00E01AE2">
        <w:rPr>
          <w:sz w:val="28"/>
          <w:szCs w:val="28"/>
        </w:rPr>
        <w:t>154,1</w:t>
      </w:r>
      <w:r w:rsidR="00F2183C" w:rsidRPr="00AD6380">
        <w:rPr>
          <w:sz w:val="28"/>
          <w:szCs w:val="28"/>
        </w:rPr>
        <w:t xml:space="preserve"> тыс. рублей, из них на </w:t>
      </w:r>
      <w:r w:rsidR="00E01AE2">
        <w:rPr>
          <w:sz w:val="28"/>
          <w:szCs w:val="28"/>
        </w:rPr>
        <w:t>25,6</w:t>
      </w:r>
      <w:r w:rsidR="00F2183C" w:rsidRPr="00AD6380">
        <w:rPr>
          <w:sz w:val="28"/>
          <w:szCs w:val="28"/>
        </w:rPr>
        <w:t xml:space="preserve"> тыс. рублей уменьшен объем поступлений на </w:t>
      </w:r>
      <w:r w:rsidR="00E01AE2">
        <w:rPr>
          <w:sz w:val="28"/>
          <w:szCs w:val="28"/>
        </w:rPr>
        <w:t>проведение мероприятий по предотвращению распространения сорного растения борщевик Сосновского</w:t>
      </w:r>
      <w:r w:rsidR="00F2183C" w:rsidRPr="00AD6380">
        <w:rPr>
          <w:sz w:val="28"/>
          <w:szCs w:val="28"/>
        </w:rPr>
        <w:t xml:space="preserve">, на </w:t>
      </w:r>
      <w:r w:rsidR="00E01AE2">
        <w:rPr>
          <w:sz w:val="28"/>
          <w:szCs w:val="28"/>
        </w:rPr>
        <w:t>179,7</w:t>
      </w:r>
      <w:r w:rsidR="00F2183C" w:rsidRPr="00AD6380">
        <w:rPr>
          <w:sz w:val="28"/>
          <w:szCs w:val="28"/>
        </w:rPr>
        <w:t xml:space="preserve"> тыс. рублей увеличена субсидия на организацию уличного освещения. Основанием является приложение </w:t>
      </w:r>
      <w:r w:rsidR="00EA3CE6">
        <w:rPr>
          <w:sz w:val="28"/>
          <w:szCs w:val="28"/>
        </w:rPr>
        <w:t xml:space="preserve">41 </w:t>
      </w:r>
      <w:r w:rsidR="00F2183C" w:rsidRPr="00AD6380">
        <w:rPr>
          <w:sz w:val="28"/>
          <w:szCs w:val="28"/>
        </w:rPr>
        <w:t>к закону области</w:t>
      </w:r>
      <w:r w:rsidR="00086FDA">
        <w:rPr>
          <w:sz w:val="28"/>
          <w:szCs w:val="28"/>
        </w:rPr>
        <w:t xml:space="preserve"> </w:t>
      </w:r>
      <w:r w:rsidR="00086FDA" w:rsidRPr="00086FDA">
        <w:rPr>
          <w:sz w:val="28"/>
          <w:szCs w:val="28"/>
        </w:rPr>
        <w:t>«О внесении изменений в закон области «Об областном бюджете на 2020 год и плановый период 2021 и 2022 годов»</w:t>
      </w:r>
      <w:r w:rsidR="00086FDA">
        <w:rPr>
          <w:sz w:val="28"/>
          <w:szCs w:val="28"/>
        </w:rPr>
        <w:t>.</w:t>
      </w:r>
      <w:r w:rsidR="002E6B28">
        <w:rPr>
          <w:sz w:val="28"/>
          <w:szCs w:val="28"/>
        </w:rPr>
        <w:t xml:space="preserve"> </w:t>
      </w:r>
    </w:p>
    <w:p w:rsidR="00681E55" w:rsidRPr="00086FDA" w:rsidRDefault="0047458B" w:rsidP="0008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66</w:t>
      </w:r>
      <w:r w:rsidR="00E71885" w:rsidRPr="00086FDA">
        <w:rPr>
          <w:sz w:val="28"/>
          <w:szCs w:val="28"/>
        </w:rPr>
        <w:t xml:space="preserve"> к закону области «О внесении изменений в закон области «Об областном бюджете на 2020 год и плановый период 2021 и 2022 годов» снята субсидия на организацию уличного освещения в размере </w:t>
      </w:r>
      <w:r>
        <w:rPr>
          <w:sz w:val="28"/>
          <w:szCs w:val="28"/>
        </w:rPr>
        <w:t>747,2</w:t>
      </w:r>
      <w:r w:rsidR="00E71885" w:rsidRPr="00086FDA">
        <w:rPr>
          <w:sz w:val="28"/>
          <w:szCs w:val="28"/>
        </w:rPr>
        <w:t xml:space="preserve"> тыс. рублей в плановом периоде 2021-2022 годы.</w:t>
      </w:r>
    </w:p>
    <w:p w:rsidR="00E71885" w:rsidRDefault="00E71885" w:rsidP="00F2183C">
      <w:pPr>
        <w:jc w:val="both"/>
        <w:rPr>
          <w:sz w:val="28"/>
          <w:szCs w:val="28"/>
        </w:rPr>
      </w:pPr>
    </w:p>
    <w:p w:rsidR="007F7DF9" w:rsidRDefault="002E6B28" w:rsidP="00681E55">
      <w:pPr>
        <w:ind w:firstLine="708"/>
        <w:jc w:val="both"/>
        <w:rPr>
          <w:sz w:val="28"/>
          <w:szCs w:val="28"/>
        </w:rPr>
      </w:pPr>
      <w:r w:rsidRPr="00F735B1">
        <w:rPr>
          <w:b/>
          <w:i/>
          <w:sz w:val="28"/>
          <w:szCs w:val="28"/>
        </w:rPr>
        <w:t>Приложение 3</w:t>
      </w:r>
      <w:r w:rsidR="00EE649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2219D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>добави</w:t>
      </w:r>
      <w:r w:rsidR="002219D2">
        <w:rPr>
          <w:sz w:val="28"/>
          <w:szCs w:val="28"/>
        </w:rPr>
        <w:t>в</w:t>
      </w:r>
      <w:r w:rsidR="000E7070">
        <w:rPr>
          <w:sz w:val="28"/>
          <w:szCs w:val="28"/>
        </w:rPr>
        <w:t xml:space="preserve"> </w:t>
      </w:r>
      <w:r w:rsidR="004313E4">
        <w:rPr>
          <w:sz w:val="28"/>
          <w:szCs w:val="28"/>
        </w:rPr>
        <w:t>код</w:t>
      </w:r>
      <w:r w:rsidR="0008674F">
        <w:rPr>
          <w:sz w:val="28"/>
          <w:szCs w:val="28"/>
        </w:rPr>
        <w:t xml:space="preserve">ы на основании постановления </w:t>
      </w:r>
      <w:r w:rsidR="000E7070">
        <w:rPr>
          <w:sz w:val="28"/>
          <w:szCs w:val="28"/>
        </w:rPr>
        <w:t xml:space="preserve"> </w:t>
      </w:r>
      <w:r w:rsidR="00E01AE2" w:rsidRPr="00E01AE2">
        <w:rPr>
          <w:sz w:val="28"/>
          <w:szCs w:val="28"/>
        </w:rPr>
        <w:t xml:space="preserve">от </w:t>
      </w:r>
      <w:r w:rsidR="00E01AE2">
        <w:rPr>
          <w:sz w:val="28"/>
          <w:szCs w:val="28"/>
        </w:rPr>
        <w:t>01.12</w:t>
      </w:r>
      <w:r w:rsidR="00E01AE2" w:rsidRPr="00E01AE2">
        <w:rPr>
          <w:sz w:val="28"/>
          <w:szCs w:val="28"/>
        </w:rPr>
        <w:t>.2020</w:t>
      </w:r>
      <w:r w:rsidR="00E01AE2">
        <w:rPr>
          <w:sz w:val="28"/>
          <w:szCs w:val="28"/>
        </w:rPr>
        <w:t xml:space="preserve"> </w:t>
      </w:r>
      <w:r w:rsidR="0008674F">
        <w:rPr>
          <w:sz w:val="28"/>
          <w:szCs w:val="28"/>
        </w:rPr>
        <w:t xml:space="preserve">№ </w:t>
      </w:r>
      <w:r w:rsidR="00E01AE2">
        <w:rPr>
          <w:sz w:val="28"/>
          <w:szCs w:val="28"/>
        </w:rPr>
        <w:t>123</w:t>
      </w:r>
      <w:r w:rsidR="0008674F">
        <w:rPr>
          <w:sz w:val="28"/>
          <w:szCs w:val="28"/>
        </w:rPr>
        <w:t xml:space="preserve"> </w:t>
      </w:r>
    </w:p>
    <w:p w:rsidR="00DF6952" w:rsidRDefault="00DF6952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Tr="005B0A71">
        <w:tc>
          <w:tcPr>
            <w:tcW w:w="3085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7217E0" w:rsidTr="005B0A71">
        <w:tc>
          <w:tcPr>
            <w:tcW w:w="3085" w:type="dxa"/>
          </w:tcPr>
          <w:p w:rsidR="007217E0" w:rsidRPr="00BC5253" w:rsidRDefault="00DF6952" w:rsidP="009B5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2 02 15853 10 0000 150</w:t>
            </w:r>
          </w:p>
        </w:tc>
        <w:tc>
          <w:tcPr>
            <w:tcW w:w="7336" w:type="dxa"/>
          </w:tcPr>
          <w:p w:rsidR="007217E0" w:rsidRPr="00BC5253" w:rsidRDefault="00DF6952" w:rsidP="009B52B4">
            <w:pPr>
              <w:jc w:val="both"/>
              <w:rPr>
                <w:sz w:val="22"/>
                <w:szCs w:val="22"/>
              </w:rPr>
            </w:pPr>
            <w:r w:rsidRPr="00DF695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B173C9" w:rsidTr="005B0A71">
        <w:tc>
          <w:tcPr>
            <w:tcW w:w="3085" w:type="dxa"/>
          </w:tcPr>
          <w:p w:rsidR="00B173C9" w:rsidRDefault="00B173C9" w:rsidP="009B5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7336" w:type="dxa"/>
          </w:tcPr>
          <w:p w:rsidR="00B173C9" w:rsidRPr="00DF6952" w:rsidRDefault="005D3DF5" w:rsidP="009B52B4">
            <w:pPr>
              <w:jc w:val="both"/>
              <w:rPr>
                <w:sz w:val="22"/>
                <w:szCs w:val="22"/>
              </w:rPr>
            </w:pPr>
            <w:r w:rsidRPr="005D3DF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681E55" w:rsidRDefault="00681E55" w:rsidP="00C23DF8">
      <w:pPr>
        <w:ind w:firstLine="709"/>
        <w:jc w:val="both"/>
        <w:rPr>
          <w:b/>
          <w:i/>
          <w:sz w:val="28"/>
          <w:szCs w:val="28"/>
        </w:rPr>
      </w:pPr>
    </w:p>
    <w:p w:rsidR="005F28D4" w:rsidRDefault="00EF256F" w:rsidP="00C23DF8">
      <w:pPr>
        <w:ind w:firstLine="709"/>
        <w:jc w:val="both"/>
        <w:rPr>
          <w:sz w:val="28"/>
          <w:szCs w:val="28"/>
        </w:rPr>
      </w:pPr>
      <w:r w:rsidRPr="0008674F">
        <w:rPr>
          <w:b/>
          <w:i/>
          <w:sz w:val="28"/>
          <w:szCs w:val="28"/>
        </w:rPr>
        <w:t>П</w:t>
      </w:r>
      <w:r w:rsidR="00EC371D" w:rsidRPr="0008674F">
        <w:rPr>
          <w:b/>
          <w:i/>
          <w:sz w:val="28"/>
          <w:szCs w:val="28"/>
        </w:rPr>
        <w:t>риложени</w:t>
      </w:r>
      <w:r w:rsidRPr="0008674F">
        <w:rPr>
          <w:b/>
          <w:i/>
          <w:sz w:val="28"/>
          <w:szCs w:val="28"/>
        </w:rPr>
        <w:t>е</w:t>
      </w:r>
      <w:r w:rsidR="00EC371D" w:rsidRPr="0008674F">
        <w:rPr>
          <w:b/>
          <w:i/>
          <w:sz w:val="28"/>
          <w:szCs w:val="28"/>
        </w:rPr>
        <w:t xml:space="preserve"> </w:t>
      </w:r>
      <w:r w:rsidR="002D7C89" w:rsidRPr="0008674F">
        <w:rPr>
          <w:b/>
          <w:i/>
          <w:sz w:val="28"/>
          <w:szCs w:val="28"/>
        </w:rPr>
        <w:t>5</w:t>
      </w:r>
      <w:r w:rsidR="00EC371D">
        <w:rPr>
          <w:sz w:val="28"/>
          <w:szCs w:val="28"/>
        </w:rPr>
        <w:t xml:space="preserve">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 w:rsidR="00EC371D"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 w:rsidR="00EC371D"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 w:rsidR="00EC371D"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 w:rsidR="002D7C89">
        <w:rPr>
          <w:sz w:val="28"/>
          <w:szCs w:val="28"/>
        </w:rPr>
        <w:t>, а именно:</w:t>
      </w:r>
      <w:r w:rsidR="00EC371D">
        <w:rPr>
          <w:sz w:val="28"/>
          <w:szCs w:val="28"/>
        </w:rPr>
        <w:t xml:space="preserve"> </w:t>
      </w:r>
    </w:p>
    <w:p w:rsidR="002E0E95" w:rsidRDefault="00DB5FD8" w:rsidP="002E0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EC371D" w:rsidRPr="002E0E95">
        <w:rPr>
          <w:sz w:val="28"/>
          <w:szCs w:val="28"/>
        </w:rPr>
        <w:t xml:space="preserve"> объем расходов на сумму </w:t>
      </w:r>
      <w:r>
        <w:rPr>
          <w:sz w:val="28"/>
          <w:szCs w:val="28"/>
        </w:rPr>
        <w:t>650,1</w:t>
      </w:r>
      <w:r w:rsidR="00EC371D" w:rsidRPr="002E0E95">
        <w:rPr>
          <w:sz w:val="28"/>
          <w:szCs w:val="28"/>
        </w:rPr>
        <w:t xml:space="preserve"> тыс. руб</w:t>
      </w:r>
      <w:r w:rsidR="00E6559C" w:rsidRPr="002E0E95">
        <w:rPr>
          <w:sz w:val="28"/>
          <w:szCs w:val="28"/>
        </w:rPr>
        <w:t>лей</w:t>
      </w:r>
      <w:r w:rsidR="00752502" w:rsidRPr="002E0E95">
        <w:rPr>
          <w:sz w:val="28"/>
          <w:szCs w:val="28"/>
        </w:rPr>
        <w:t xml:space="preserve"> из них: </w:t>
      </w:r>
    </w:p>
    <w:p w:rsidR="00041542" w:rsidRDefault="00041542" w:rsidP="00041542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</w:t>
      </w:r>
      <w:r w:rsidRPr="00AD6380">
        <w:rPr>
          <w:sz w:val="28"/>
          <w:szCs w:val="28"/>
        </w:rPr>
        <w:t xml:space="preserve"> м</w:t>
      </w:r>
      <w:r>
        <w:rPr>
          <w:sz w:val="28"/>
          <w:szCs w:val="28"/>
        </w:rPr>
        <w:t>ежбюджетного трансферта 496,0</w:t>
      </w:r>
      <w:r w:rsidRPr="00AD63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</w:t>
      </w:r>
      <w:r w:rsidRPr="00AD6380">
        <w:rPr>
          <w:sz w:val="28"/>
          <w:szCs w:val="28"/>
        </w:rPr>
        <w:t xml:space="preserve"> на </w:t>
      </w:r>
      <w:r>
        <w:rPr>
          <w:sz w:val="28"/>
          <w:szCs w:val="28"/>
        </w:rPr>
        <w:t>исполнение полномочий по дорожной деятельности,</w:t>
      </w:r>
      <w:r w:rsidRPr="00AD6380">
        <w:rPr>
          <w:sz w:val="28"/>
          <w:szCs w:val="28"/>
        </w:rPr>
        <w:t xml:space="preserve"> </w:t>
      </w:r>
      <w:r>
        <w:rPr>
          <w:sz w:val="28"/>
          <w:szCs w:val="28"/>
        </w:rPr>
        <w:t>450,0</w:t>
      </w:r>
      <w:r w:rsidRPr="00AD6380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коммунальное хозяйство 46,0</w:t>
      </w:r>
      <w:r w:rsidRPr="00AD6380">
        <w:rPr>
          <w:sz w:val="28"/>
          <w:szCs w:val="28"/>
        </w:rPr>
        <w:t xml:space="preserve"> тыс. рублей. Основанием является уведомление Финансового управления района от </w:t>
      </w:r>
      <w:r>
        <w:rPr>
          <w:sz w:val="28"/>
          <w:szCs w:val="28"/>
        </w:rPr>
        <w:t>24.</w:t>
      </w:r>
      <w:r w:rsidRPr="00AD63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D6380">
        <w:rPr>
          <w:sz w:val="28"/>
          <w:szCs w:val="28"/>
        </w:rPr>
        <w:t>.2020 №</w:t>
      </w:r>
      <w:r>
        <w:rPr>
          <w:sz w:val="28"/>
          <w:szCs w:val="28"/>
        </w:rPr>
        <w:t>23,25;</w:t>
      </w:r>
    </w:p>
    <w:p w:rsidR="0047458B" w:rsidRDefault="00041542" w:rsidP="0047458B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D638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Pr="00AD6380">
        <w:rPr>
          <w:sz w:val="28"/>
          <w:szCs w:val="28"/>
        </w:rPr>
        <w:t xml:space="preserve"> объема прочей субсидии бюджетам сельских поселений на сумму </w:t>
      </w:r>
      <w:r>
        <w:rPr>
          <w:sz w:val="28"/>
          <w:szCs w:val="28"/>
        </w:rPr>
        <w:t>154,1</w:t>
      </w:r>
      <w:r w:rsidRPr="00AD6380">
        <w:rPr>
          <w:sz w:val="28"/>
          <w:szCs w:val="28"/>
        </w:rPr>
        <w:t xml:space="preserve"> тыс. рублей, из них на </w:t>
      </w:r>
      <w:r>
        <w:rPr>
          <w:sz w:val="28"/>
          <w:szCs w:val="28"/>
        </w:rPr>
        <w:t>25,6</w:t>
      </w:r>
      <w:r w:rsidRPr="00AD6380">
        <w:rPr>
          <w:sz w:val="28"/>
          <w:szCs w:val="28"/>
        </w:rPr>
        <w:t xml:space="preserve"> тыс. рублей уменьшен объем поступлений на </w:t>
      </w:r>
      <w:r>
        <w:rPr>
          <w:sz w:val="28"/>
          <w:szCs w:val="28"/>
        </w:rPr>
        <w:t>проведение мероприятий по предотвращению распространения сорного растения борщевик Сосновского</w:t>
      </w:r>
      <w:r w:rsidRPr="00AD6380">
        <w:rPr>
          <w:sz w:val="28"/>
          <w:szCs w:val="28"/>
        </w:rPr>
        <w:t xml:space="preserve">, на </w:t>
      </w:r>
      <w:r>
        <w:rPr>
          <w:sz w:val="28"/>
          <w:szCs w:val="28"/>
        </w:rPr>
        <w:t>179,7</w:t>
      </w:r>
      <w:r w:rsidRPr="00AD6380">
        <w:rPr>
          <w:sz w:val="28"/>
          <w:szCs w:val="28"/>
        </w:rPr>
        <w:t xml:space="preserve"> тыс. рублей увеличена субсидия на организацию уличного освещения. Основанием является приложение </w:t>
      </w:r>
      <w:r w:rsidR="0047458B">
        <w:rPr>
          <w:sz w:val="28"/>
          <w:szCs w:val="28"/>
        </w:rPr>
        <w:t>41</w:t>
      </w:r>
      <w:r w:rsidRPr="00AD6380">
        <w:rPr>
          <w:sz w:val="28"/>
          <w:szCs w:val="28"/>
        </w:rPr>
        <w:t xml:space="preserve"> к закону области.</w:t>
      </w:r>
    </w:p>
    <w:p w:rsidR="0047458B" w:rsidRPr="0047458B" w:rsidRDefault="0047458B" w:rsidP="0047458B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47458B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47458B">
        <w:rPr>
          <w:sz w:val="28"/>
          <w:szCs w:val="28"/>
        </w:rPr>
        <w:t xml:space="preserve"> расходов на плановый период 2021-2022 годы на </w:t>
      </w:r>
      <w:r>
        <w:rPr>
          <w:sz w:val="28"/>
          <w:szCs w:val="28"/>
        </w:rPr>
        <w:t>747,2</w:t>
      </w:r>
      <w:r w:rsidRPr="0047458B">
        <w:rPr>
          <w:sz w:val="28"/>
          <w:szCs w:val="28"/>
        </w:rPr>
        <w:t xml:space="preserve"> тыс. рублей (снята субсидия на уличное освещение согласно закону об областном бюджете);</w:t>
      </w:r>
    </w:p>
    <w:p w:rsidR="00041542" w:rsidRDefault="00041542" w:rsidP="003B2B7D">
      <w:pPr>
        <w:jc w:val="both"/>
        <w:rPr>
          <w:sz w:val="22"/>
          <w:szCs w:val="22"/>
        </w:rPr>
      </w:pPr>
    </w:p>
    <w:p w:rsidR="0047458B" w:rsidRDefault="0047458B" w:rsidP="003B2B7D">
      <w:pPr>
        <w:jc w:val="both"/>
        <w:rPr>
          <w:sz w:val="22"/>
          <w:szCs w:val="22"/>
        </w:rPr>
      </w:pPr>
    </w:p>
    <w:p w:rsidR="0047458B" w:rsidRDefault="0047458B" w:rsidP="003B2B7D">
      <w:pPr>
        <w:jc w:val="both"/>
        <w:rPr>
          <w:sz w:val="22"/>
          <w:szCs w:val="22"/>
        </w:rPr>
      </w:pPr>
    </w:p>
    <w:p w:rsidR="0047458B" w:rsidRDefault="0047458B" w:rsidP="003B2B7D">
      <w:pPr>
        <w:jc w:val="both"/>
        <w:rPr>
          <w:sz w:val="22"/>
          <w:szCs w:val="22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387"/>
        <w:gridCol w:w="424"/>
        <w:gridCol w:w="471"/>
        <w:gridCol w:w="946"/>
        <w:gridCol w:w="946"/>
        <w:gridCol w:w="946"/>
        <w:gridCol w:w="800"/>
        <w:gridCol w:w="800"/>
        <w:gridCol w:w="800"/>
        <w:gridCol w:w="967"/>
        <w:gridCol w:w="967"/>
        <w:gridCol w:w="967"/>
      </w:tblGrid>
      <w:tr w:rsidR="0047458B" w:rsidRPr="0047458B" w:rsidTr="00F10D10">
        <w:tc>
          <w:tcPr>
            <w:tcW w:w="665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3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proofErr w:type="gramStart"/>
            <w:r w:rsidRPr="0047458B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226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proofErr w:type="gramStart"/>
            <w:r w:rsidRPr="0047458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54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 xml:space="preserve">Утверждено по бюджету </w:t>
            </w:r>
          </w:p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 2020 год</w:t>
            </w:r>
          </w:p>
          <w:p w:rsidR="0047458B" w:rsidRPr="0047458B" w:rsidRDefault="0047458B" w:rsidP="00DB5FD8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(решение от 20.11.2020 № 37)</w:t>
            </w:r>
          </w:p>
        </w:tc>
        <w:tc>
          <w:tcPr>
            <w:tcW w:w="454" w:type="pct"/>
            <w:shd w:val="clear" w:color="auto" w:fill="DBE5F1" w:themeFill="accent1" w:themeFillTint="33"/>
          </w:tcPr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 xml:space="preserve">Утверждено по бюджету 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 2021 год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(решение от 20.11.2020 № 37)</w:t>
            </w:r>
          </w:p>
        </w:tc>
        <w:tc>
          <w:tcPr>
            <w:tcW w:w="454" w:type="pct"/>
            <w:shd w:val="clear" w:color="auto" w:fill="DBE5F1" w:themeFill="accent1" w:themeFillTint="33"/>
          </w:tcPr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 xml:space="preserve">Утверждено по бюджету 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 2022 год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(решение от 20.11.2020 № 37)</w:t>
            </w:r>
          </w:p>
        </w:tc>
        <w:tc>
          <w:tcPr>
            <w:tcW w:w="384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Поправки</w:t>
            </w:r>
            <w:r w:rsidR="00541A80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384" w:type="pct"/>
            <w:shd w:val="clear" w:color="auto" w:fill="DBE5F1" w:themeFill="accent1" w:themeFillTint="33"/>
          </w:tcPr>
          <w:p w:rsid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Поправки</w:t>
            </w:r>
          </w:p>
          <w:p w:rsidR="00541A80" w:rsidRPr="0047458B" w:rsidRDefault="00541A80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384" w:type="pct"/>
            <w:shd w:val="clear" w:color="auto" w:fill="DBE5F1" w:themeFill="accent1" w:themeFillTint="33"/>
          </w:tcPr>
          <w:p w:rsid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Поправки</w:t>
            </w:r>
          </w:p>
          <w:p w:rsidR="00541A80" w:rsidRPr="0047458B" w:rsidRDefault="00541A80" w:rsidP="0010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464" w:type="pct"/>
            <w:shd w:val="clear" w:color="auto" w:fill="DBE5F1" w:themeFill="accent1" w:themeFillTint="33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Уточненный бюджет на 2020 год</w:t>
            </w:r>
          </w:p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DBE5F1" w:themeFill="accent1" w:themeFillTint="33"/>
          </w:tcPr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Уточненный бюджет на 2021 год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DBE5F1" w:themeFill="accent1" w:themeFillTint="33"/>
          </w:tcPr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Уточненный бюджет на 2022 год</w:t>
            </w:r>
          </w:p>
          <w:p w:rsidR="0047458B" w:rsidRPr="0047458B" w:rsidRDefault="0047458B" w:rsidP="0047458B">
            <w:pPr>
              <w:jc w:val="center"/>
              <w:rPr>
                <w:sz w:val="18"/>
                <w:szCs w:val="18"/>
              </w:rPr>
            </w:pPr>
          </w:p>
        </w:tc>
      </w:tr>
      <w:tr w:rsidR="0047458B" w:rsidRPr="0047458B" w:rsidTr="00F10D10">
        <w:tc>
          <w:tcPr>
            <w:tcW w:w="665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5</w:t>
            </w:r>
          </w:p>
        </w:tc>
        <w:tc>
          <w:tcPr>
            <w:tcW w:w="38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47458B" w:rsidRPr="0047458B" w:rsidRDefault="0047458B" w:rsidP="0010082B">
            <w:pPr>
              <w:jc w:val="center"/>
              <w:rPr>
                <w:sz w:val="18"/>
                <w:szCs w:val="18"/>
              </w:rPr>
            </w:pP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01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4 591,4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2 616,7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2 594,1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+0,2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4 591,6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2 616,7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2 594,1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02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93,5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93,5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03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308,8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220,8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308,8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220,8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04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1 081,8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+450,0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1 531,8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05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4 245,8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1 750,3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1 658,0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+211,8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-747,2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-747,2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4 457,6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1 003,1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910,8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Образование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07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3,5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3,5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233,2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-11,9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221,3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11</w:t>
            </w: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9A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 w:rsidRPr="0047458B">
              <w:rPr>
                <w:sz w:val="18"/>
                <w:szCs w:val="18"/>
              </w:rPr>
              <w:t>0,0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10 558,0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 w:rsidRPr="00F7444D">
              <w:rPr>
                <w:b/>
                <w:sz w:val="18"/>
                <w:szCs w:val="18"/>
              </w:rPr>
              <w:t>11 208,1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4 219,1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4 117,0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A339D3" w:rsidP="00F10D1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105,7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211,4</w:t>
            </w:r>
          </w:p>
        </w:tc>
      </w:tr>
      <w:tr w:rsidR="00A339D3" w:rsidRPr="0047458B" w:rsidTr="00F10D10">
        <w:tc>
          <w:tcPr>
            <w:tcW w:w="665" w:type="pct"/>
          </w:tcPr>
          <w:p w:rsidR="00A339D3" w:rsidRPr="0047458B" w:rsidRDefault="00F10D10" w:rsidP="00F10D10">
            <w:pPr>
              <w:jc w:val="both"/>
              <w:rPr>
                <w:b/>
                <w:sz w:val="18"/>
                <w:szCs w:val="18"/>
              </w:rPr>
            </w:pPr>
            <w:r w:rsidRPr="0047458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03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339D3" w:rsidRPr="0047458B" w:rsidRDefault="00A339D3" w:rsidP="002B20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 w:rsidRPr="0047458B">
              <w:rPr>
                <w:b/>
                <w:sz w:val="18"/>
                <w:szCs w:val="18"/>
              </w:rPr>
              <w:t>10 558,0</w:t>
            </w: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 w:rsidRPr="0047458B">
              <w:rPr>
                <w:b/>
                <w:sz w:val="18"/>
                <w:szCs w:val="18"/>
              </w:rPr>
              <w:t>650,1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38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-747,2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 w:rsidRPr="0047458B">
              <w:rPr>
                <w:b/>
                <w:sz w:val="18"/>
                <w:szCs w:val="18"/>
              </w:rPr>
              <w:t>11 208,1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4 324,8</w:t>
            </w:r>
          </w:p>
        </w:tc>
        <w:tc>
          <w:tcPr>
            <w:tcW w:w="464" w:type="pct"/>
            <w:vAlign w:val="center"/>
          </w:tcPr>
          <w:p w:rsidR="00A339D3" w:rsidRPr="0047458B" w:rsidRDefault="00A339D3" w:rsidP="00F7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4 328,4</w:t>
            </w:r>
          </w:p>
        </w:tc>
      </w:tr>
    </w:tbl>
    <w:p w:rsidR="004E212C" w:rsidRDefault="004E212C" w:rsidP="003B2B7D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041542" w:rsidRDefault="003B2B7D" w:rsidP="003E16DF">
      <w:pPr>
        <w:ind w:firstLine="708"/>
        <w:jc w:val="both"/>
        <w:rPr>
          <w:sz w:val="22"/>
          <w:szCs w:val="22"/>
        </w:rPr>
      </w:pPr>
      <w:r w:rsidRPr="004E212C">
        <w:rPr>
          <w:b/>
          <w:i/>
          <w:sz w:val="28"/>
          <w:szCs w:val="28"/>
        </w:rPr>
        <w:t xml:space="preserve">Приложение </w:t>
      </w:r>
      <w:r w:rsidR="00436950" w:rsidRPr="004E212C">
        <w:rPr>
          <w:b/>
          <w:i/>
          <w:sz w:val="28"/>
          <w:szCs w:val="28"/>
        </w:rPr>
        <w:t>6</w:t>
      </w:r>
      <w:r w:rsidR="003F2A57" w:rsidRPr="004E212C">
        <w:rPr>
          <w:sz w:val="28"/>
          <w:szCs w:val="28"/>
        </w:rPr>
        <w:t xml:space="preserve"> </w:t>
      </w:r>
      <w:r w:rsidRPr="004E212C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4E212C">
        <w:rPr>
          <w:sz w:val="28"/>
          <w:szCs w:val="28"/>
        </w:rPr>
        <w:t xml:space="preserve"> предлагается изложить в новой редакции, а именно: </w:t>
      </w:r>
      <w:bookmarkStart w:id="0" w:name="_GoBack"/>
      <w:bookmarkEnd w:id="0"/>
    </w:p>
    <w:p w:rsidR="002B2026" w:rsidRPr="004E212C" w:rsidRDefault="00D96047" w:rsidP="002B2026">
      <w:pPr>
        <w:jc w:val="both"/>
        <w:rPr>
          <w:sz w:val="22"/>
          <w:szCs w:val="22"/>
        </w:rPr>
      </w:pPr>
      <w:r w:rsidRPr="004E212C">
        <w:rPr>
          <w:sz w:val="22"/>
          <w:szCs w:val="22"/>
        </w:rPr>
        <w:t>Таблица № 4</w:t>
      </w:r>
      <w:r w:rsidR="002B2026" w:rsidRPr="004E212C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"/>
        <w:gridCol w:w="779"/>
        <w:gridCol w:w="1329"/>
        <w:gridCol w:w="632"/>
        <w:gridCol w:w="1225"/>
        <w:gridCol w:w="1225"/>
        <w:gridCol w:w="1225"/>
        <w:gridCol w:w="3199"/>
      </w:tblGrid>
      <w:tr w:rsidR="00FE5CD7" w:rsidRPr="004E212C" w:rsidTr="00FE5CD7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Поправки</w:t>
            </w:r>
            <w:r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Поправки</w:t>
            </w:r>
            <w:r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Поправки</w:t>
            </w:r>
            <w:r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 xml:space="preserve">Основание </w:t>
            </w:r>
          </w:p>
        </w:tc>
      </w:tr>
      <w:tr w:rsidR="00FE5CD7" w:rsidRPr="004E212C" w:rsidTr="00FE5CD7"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4E212C" w:rsidRDefault="00FE5CD7" w:rsidP="009B52B4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6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-0,4</w:t>
            </w: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 w:rsidRPr="005A15CA">
              <w:rPr>
                <w:sz w:val="22"/>
                <w:szCs w:val="22"/>
              </w:rPr>
              <w:t>Приказ ФУ от 25.11.2020 №174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+4,9</w:t>
            </w: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 w:rsidRPr="005A15CA">
              <w:rPr>
                <w:sz w:val="22"/>
                <w:szCs w:val="22"/>
              </w:rPr>
              <w:t>Подотчет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15CA">
              <w:rPr>
                <w:color w:val="000000" w:themeColor="text1"/>
                <w:sz w:val="22"/>
                <w:szCs w:val="22"/>
              </w:rPr>
              <w:t>-4,3</w:t>
            </w: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 w:rsidRPr="005A15CA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 w:rsidRPr="005A15CA"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2400490030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+450,0</w:t>
            </w: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межбюджетного трансферта уведомление ФУ от 24.12.2020 №25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2400590010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2400690020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+46,0</w:t>
            </w: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межбюджетного трансферта уведомление ФУ от 24.12.2020 №23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723AFB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+179,7</w:t>
            </w:r>
          </w:p>
        </w:tc>
        <w:tc>
          <w:tcPr>
            <w:tcW w:w="0" w:type="auto"/>
          </w:tcPr>
          <w:p w:rsidR="00FE5CD7" w:rsidRDefault="00FE5CD7" w:rsidP="00723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23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Добавлена субсидия на уличное освещение 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723AFB" w:rsidRDefault="00FE5CD7" w:rsidP="00723AFB">
            <w:pPr>
              <w:jc w:val="center"/>
              <w:rPr>
                <w:sz w:val="22"/>
                <w:szCs w:val="22"/>
              </w:rPr>
            </w:pPr>
            <w:r w:rsidRPr="007661F4">
              <w:rPr>
                <w:sz w:val="22"/>
                <w:szCs w:val="22"/>
              </w:rPr>
              <w:t>24002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+12,0</w:t>
            </w: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Софинансирование субсидии </w:t>
            </w:r>
            <w:r>
              <w:rPr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723AFB" w:rsidRDefault="00FE5CD7" w:rsidP="007661F4">
            <w:pPr>
              <w:jc w:val="center"/>
              <w:rPr>
                <w:sz w:val="22"/>
                <w:szCs w:val="22"/>
              </w:rPr>
            </w:pPr>
            <w:r w:rsidRPr="007661F4">
              <w:rPr>
                <w:sz w:val="22"/>
                <w:szCs w:val="22"/>
              </w:rPr>
              <w:t>24002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-25,6</w:t>
            </w: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субсидия на проведение мероприятий по предотвращению распространения сорного растения борщевик Сосновского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723AFB" w:rsidRDefault="00FE5CD7" w:rsidP="007649AA">
            <w:pPr>
              <w:jc w:val="center"/>
              <w:rPr>
                <w:sz w:val="22"/>
                <w:szCs w:val="22"/>
              </w:rPr>
            </w:pPr>
            <w:r w:rsidRPr="007661F4">
              <w:rPr>
                <w:sz w:val="22"/>
                <w:szCs w:val="22"/>
              </w:rPr>
              <w:t>24002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23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0" w:type="auto"/>
          </w:tcPr>
          <w:p w:rsidR="00FE5CD7" w:rsidRDefault="00FE5CD7" w:rsidP="00723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23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софинансирование мероприятие</w:t>
            </w:r>
          </w:p>
        </w:tc>
      </w:tr>
      <w:tr w:rsidR="00FE5CD7" w:rsidRPr="004E212C" w:rsidTr="00FE5CD7"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9100083010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vAlign w:val="center"/>
          </w:tcPr>
          <w:p w:rsidR="00FE5CD7" w:rsidRPr="005A15CA" w:rsidRDefault="00FE5CD7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-11,9</w:t>
            </w: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E5CD7" w:rsidRDefault="00FE5CD7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E5CD7" w:rsidRPr="005A15CA" w:rsidRDefault="00FE5CD7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7B4C52" w:rsidRPr="004E212C" w:rsidTr="00211B5D"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7B4C52" w:rsidRPr="00FE5CD7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7B4C52" w:rsidRDefault="007B4C52" w:rsidP="00FE5C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B4C52" w:rsidRDefault="007B4C52" w:rsidP="0021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-996,3</w:t>
            </w:r>
          </w:p>
        </w:tc>
        <w:tc>
          <w:tcPr>
            <w:tcW w:w="0" w:type="auto"/>
            <w:vAlign w:val="center"/>
          </w:tcPr>
          <w:p w:rsidR="007B4C52" w:rsidRDefault="007B4C52" w:rsidP="00211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-996,3</w:t>
            </w:r>
          </w:p>
        </w:tc>
        <w:tc>
          <w:tcPr>
            <w:tcW w:w="0" w:type="auto"/>
            <w:vAlign w:val="center"/>
          </w:tcPr>
          <w:p w:rsidR="007B4C52" w:rsidRDefault="00211B5D" w:rsidP="007B4C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приложениям 41,66</w:t>
            </w:r>
            <w:r w:rsidR="007B4C52" w:rsidRPr="007B4C52">
              <w:rPr>
                <w:sz w:val="22"/>
                <w:szCs w:val="22"/>
              </w:rPr>
              <w:t xml:space="preserve"> к закону области об областном бюджете откорректирован объем субсидий на организацию уличного освещения</w:t>
            </w:r>
          </w:p>
        </w:tc>
      </w:tr>
      <w:tr w:rsidR="007B4C52" w:rsidRPr="004E212C" w:rsidTr="00FE5CD7"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4500223050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+249,1</w:t>
            </w:r>
          </w:p>
        </w:tc>
        <w:tc>
          <w:tcPr>
            <w:tcW w:w="0" w:type="auto"/>
          </w:tcPr>
          <w:p w:rsidR="007B4C52" w:rsidRDefault="007B4C52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+249,1</w:t>
            </w:r>
          </w:p>
        </w:tc>
        <w:tc>
          <w:tcPr>
            <w:tcW w:w="0" w:type="auto"/>
            <w:vAlign w:val="center"/>
          </w:tcPr>
          <w:p w:rsidR="007B4C52" w:rsidRDefault="007B4C52" w:rsidP="007661F4">
            <w:pPr>
              <w:jc w:val="center"/>
              <w:rPr>
                <w:sz w:val="22"/>
                <w:szCs w:val="22"/>
              </w:rPr>
            </w:pPr>
          </w:p>
        </w:tc>
      </w:tr>
      <w:tr w:rsidR="007B4C52" w:rsidRPr="004E212C" w:rsidTr="00FE5CD7">
        <w:tc>
          <w:tcPr>
            <w:tcW w:w="0" w:type="auto"/>
            <w:gridSpan w:val="4"/>
            <w:vAlign w:val="center"/>
          </w:tcPr>
          <w:p w:rsidR="007B4C52" w:rsidRPr="00B45B11" w:rsidRDefault="007B4C52" w:rsidP="00B10D3A">
            <w:pPr>
              <w:jc w:val="center"/>
              <w:rPr>
                <w:b/>
                <w:sz w:val="22"/>
                <w:szCs w:val="22"/>
              </w:rPr>
            </w:pPr>
            <w:r w:rsidRPr="00B45B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7B4C52" w:rsidRPr="00B45B11" w:rsidRDefault="007B4C52" w:rsidP="00723AFB">
            <w:pPr>
              <w:jc w:val="center"/>
              <w:rPr>
                <w:b/>
                <w:sz w:val="22"/>
                <w:szCs w:val="22"/>
              </w:rPr>
            </w:pPr>
            <w:r w:rsidRPr="00B45B1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650,1</w:t>
            </w:r>
          </w:p>
        </w:tc>
        <w:tc>
          <w:tcPr>
            <w:tcW w:w="0" w:type="auto"/>
          </w:tcPr>
          <w:p w:rsidR="007B4C52" w:rsidRPr="00191836" w:rsidRDefault="007B4C52" w:rsidP="00191836">
            <w:pPr>
              <w:tabs>
                <w:tab w:val="left" w:pos="210"/>
                <w:tab w:val="center" w:pos="51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191836">
              <w:rPr>
                <w:b/>
                <w:sz w:val="22"/>
                <w:szCs w:val="22"/>
              </w:rPr>
              <w:tab/>
              <w:t>-747,2</w:t>
            </w:r>
          </w:p>
        </w:tc>
        <w:tc>
          <w:tcPr>
            <w:tcW w:w="0" w:type="auto"/>
          </w:tcPr>
          <w:p w:rsidR="007B4C52" w:rsidRPr="00191836" w:rsidRDefault="007B4C52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-747,2</w:t>
            </w:r>
          </w:p>
        </w:tc>
        <w:tc>
          <w:tcPr>
            <w:tcW w:w="0" w:type="auto"/>
          </w:tcPr>
          <w:p w:rsidR="007B4C52" w:rsidRPr="004E212C" w:rsidRDefault="007B4C52" w:rsidP="009B52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026" w:rsidRPr="00590E65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Default="00A755DB" w:rsidP="00590E65">
      <w:pPr>
        <w:jc w:val="both"/>
        <w:rPr>
          <w:sz w:val="28"/>
          <w:szCs w:val="28"/>
        </w:rPr>
      </w:pPr>
      <w:r w:rsidRPr="00590E65">
        <w:rPr>
          <w:b/>
          <w:i/>
          <w:sz w:val="28"/>
          <w:szCs w:val="28"/>
        </w:rPr>
        <w:t xml:space="preserve">     </w:t>
      </w:r>
      <w:r w:rsidR="00F55BD9" w:rsidRPr="00590E65">
        <w:rPr>
          <w:b/>
          <w:i/>
          <w:sz w:val="28"/>
          <w:szCs w:val="28"/>
        </w:rPr>
        <w:t xml:space="preserve">     </w:t>
      </w:r>
      <w:r w:rsidR="003A7303" w:rsidRPr="00590E65">
        <w:rPr>
          <w:b/>
          <w:i/>
          <w:sz w:val="28"/>
          <w:szCs w:val="28"/>
        </w:rPr>
        <w:t>П</w:t>
      </w:r>
      <w:r w:rsidR="00723D49" w:rsidRPr="00590E65">
        <w:rPr>
          <w:b/>
          <w:i/>
          <w:sz w:val="28"/>
          <w:szCs w:val="28"/>
        </w:rPr>
        <w:t xml:space="preserve">риложение </w:t>
      </w:r>
      <w:r w:rsidR="00436950" w:rsidRPr="00590E65">
        <w:rPr>
          <w:b/>
          <w:i/>
          <w:sz w:val="28"/>
          <w:szCs w:val="28"/>
        </w:rPr>
        <w:t>7</w:t>
      </w:r>
      <w:r w:rsidR="00723D49" w:rsidRPr="00590E65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</w:t>
      </w:r>
      <w:r w:rsidR="00E9239B" w:rsidRPr="00590E65">
        <w:rPr>
          <w:sz w:val="28"/>
          <w:szCs w:val="28"/>
        </w:rPr>
        <w:t>Шольского</w:t>
      </w:r>
      <w:r w:rsidR="006B3AC0" w:rsidRPr="00590E65">
        <w:rPr>
          <w:sz w:val="28"/>
          <w:szCs w:val="28"/>
        </w:rPr>
        <w:t xml:space="preserve"> сельского поселения</w:t>
      </w:r>
      <w:r w:rsidR="00723D49" w:rsidRPr="00590E65">
        <w:rPr>
          <w:sz w:val="28"/>
          <w:szCs w:val="28"/>
        </w:rPr>
        <w:t xml:space="preserve"> на 2018-2020 годы» </w:t>
      </w:r>
      <w:r w:rsidR="003A7303" w:rsidRPr="00590E65">
        <w:rPr>
          <w:sz w:val="28"/>
          <w:szCs w:val="28"/>
        </w:rPr>
        <w:t>предлагае</w:t>
      </w:r>
      <w:r w:rsidR="00995053" w:rsidRPr="00590E65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2"/>
        <w:gridCol w:w="436"/>
        <w:gridCol w:w="436"/>
        <w:gridCol w:w="1546"/>
        <w:gridCol w:w="1055"/>
        <w:gridCol w:w="1756"/>
      </w:tblGrid>
      <w:tr w:rsidR="00995053" w:rsidTr="00733ACD"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r w:rsidRPr="00995053">
              <w:t>Утверждено по бюджету</w:t>
            </w:r>
          </w:p>
          <w:p w:rsidR="00995053" w:rsidRPr="00995053" w:rsidRDefault="00995053" w:rsidP="00733ACD">
            <w:pPr>
              <w:jc w:val="center"/>
            </w:pPr>
            <w:r w:rsidRPr="00995053">
              <w:t>на 2020 год</w:t>
            </w:r>
          </w:p>
          <w:p w:rsidR="00590E65" w:rsidRDefault="00995053" w:rsidP="00733ACD">
            <w:pPr>
              <w:jc w:val="center"/>
            </w:pPr>
            <w:proofErr w:type="gramStart"/>
            <w:r w:rsidRPr="002F3597">
              <w:t xml:space="preserve">(решение от </w:t>
            </w:r>
            <w:r w:rsidR="00733ACD">
              <w:t>20.11</w:t>
            </w:r>
            <w:r w:rsidRPr="002F3597">
              <w:t>.2020</w:t>
            </w:r>
            <w:proofErr w:type="gramEnd"/>
          </w:p>
          <w:p w:rsidR="00995053" w:rsidRPr="00995053" w:rsidRDefault="00995053" w:rsidP="00733ACD">
            <w:pPr>
              <w:jc w:val="center"/>
            </w:pPr>
            <w:r w:rsidRPr="002F3597">
              <w:t xml:space="preserve">№ </w:t>
            </w:r>
            <w:r w:rsidR="00733ACD">
              <w:t>3</w:t>
            </w:r>
            <w:r w:rsidR="00590E65">
              <w:t>7</w:t>
            </w:r>
            <w:r w:rsidRPr="002F3597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r w:rsidRPr="00995053"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95053" w:rsidRPr="00995053" w:rsidRDefault="00995053" w:rsidP="00733ACD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733ACD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332890">
        <w:tc>
          <w:tcPr>
            <w:tcW w:w="0" w:type="auto"/>
          </w:tcPr>
          <w:p w:rsidR="00995053" w:rsidRPr="0010082B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95053" w:rsidRDefault="00995053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Default="00D506AB" w:rsidP="0059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</w:t>
            </w:r>
          </w:p>
        </w:tc>
        <w:tc>
          <w:tcPr>
            <w:tcW w:w="0" w:type="auto"/>
            <w:vAlign w:val="center"/>
          </w:tcPr>
          <w:p w:rsidR="00733ACD" w:rsidRDefault="00E95B0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+165,9</w:t>
            </w: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2 591,3</w:t>
            </w:r>
          </w:p>
        </w:tc>
      </w:tr>
      <w:tr w:rsidR="00733ACD" w:rsidTr="00332890">
        <w:tc>
          <w:tcPr>
            <w:tcW w:w="0" w:type="auto"/>
          </w:tcPr>
          <w:p w:rsidR="00733ACD" w:rsidRPr="00253C74" w:rsidRDefault="00733ACD">
            <w:pPr>
              <w:rPr>
                <w:sz w:val="22"/>
                <w:szCs w:val="22"/>
              </w:rPr>
            </w:pPr>
            <w:r w:rsidRPr="002D4AE8">
              <w:rPr>
                <w:sz w:val="22"/>
                <w:szCs w:val="22"/>
              </w:rPr>
              <w:t>Основное мероприятие, направленное на</w:t>
            </w:r>
            <w:r>
              <w:rPr>
                <w:sz w:val="22"/>
                <w:szCs w:val="22"/>
              </w:rPr>
              <w:t xml:space="preserve">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1 031,8</w:t>
            </w:r>
          </w:p>
        </w:tc>
        <w:tc>
          <w:tcPr>
            <w:tcW w:w="0" w:type="auto"/>
            <w:vAlign w:val="center"/>
          </w:tcPr>
          <w:p w:rsidR="00733ACD" w:rsidRDefault="00E95B0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+450,0</w:t>
            </w: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1 481,8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 w:rsidP="009B52B4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1 235,5</w:t>
            </w:r>
          </w:p>
        </w:tc>
        <w:tc>
          <w:tcPr>
            <w:tcW w:w="0" w:type="auto"/>
            <w:vAlign w:val="center"/>
          </w:tcPr>
          <w:p w:rsidR="00733ACD" w:rsidRDefault="00E95B08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1 235,4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 w:rsidP="009B52B4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733ACD" w:rsidRDefault="00733ACD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454,9</w:t>
            </w:r>
          </w:p>
        </w:tc>
        <w:tc>
          <w:tcPr>
            <w:tcW w:w="0" w:type="auto"/>
            <w:vAlign w:val="center"/>
          </w:tcPr>
          <w:p w:rsidR="00733ACD" w:rsidRDefault="00E95B08" w:rsidP="00197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+46,0</w:t>
            </w: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500,9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733ACD" w:rsidTr="00332890">
        <w:tc>
          <w:tcPr>
            <w:tcW w:w="0" w:type="auto"/>
          </w:tcPr>
          <w:p w:rsidR="00733ACD" w:rsidRDefault="00733ACD" w:rsidP="009B52B4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«Мероприятия по охране и комплексному использованию водных ресурсов, обеспечение населения качественной питьевой водой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33ACD" w:rsidTr="00332890">
        <w:tc>
          <w:tcPr>
            <w:tcW w:w="0" w:type="auto"/>
          </w:tcPr>
          <w:p w:rsidR="00733ACD" w:rsidRPr="00253C74" w:rsidRDefault="00733ACD" w:rsidP="00E9239B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«Разработка ПКРТИ»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733ACD" w:rsidRDefault="00733ACD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733ACD" w:rsidRDefault="00733ACD" w:rsidP="00764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33ACD" w:rsidRDefault="00733ACD" w:rsidP="009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Default="00D506AB" w:rsidP="009B5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3ACD" w:rsidTr="00332890">
        <w:tc>
          <w:tcPr>
            <w:tcW w:w="0" w:type="auto"/>
          </w:tcPr>
          <w:p w:rsidR="00733ACD" w:rsidRPr="002B2026" w:rsidRDefault="00733ACD" w:rsidP="009B52B4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0" w:type="auto"/>
            <w:vAlign w:val="center"/>
          </w:tcPr>
          <w:p w:rsidR="00733ACD" w:rsidRPr="002B2026" w:rsidRDefault="00733ACD" w:rsidP="009B5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Pr="002B2026" w:rsidRDefault="00733ACD" w:rsidP="009B5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3ACD" w:rsidRPr="002B2026" w:rsidRDefault="00733ACD" w:rsidP="00764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5 639,9</w:t>
            </w:r>
          </w:p>
        </w:tc>
        <w:tc>
          <w:tcPr>
            <w:tcW w:w="0" w:type="auto"/>
            <w:vAlign w:val="center"/>
          </w:tcPr>
          <w:p w:rsidR="00733ACD" w:rsidRPr="002B2026" w:rsidRDefault="003034DF" w:rsidP="00197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95B08">
              <w:rPr>
                <w:b/>
                <w:sz w:val="22"/>
                <w:szCs w:val="22"/>
              </w:rPr>
              <w:t>661,8</w:t>
            </w:r>
          </w:p>
        </w:tc>
        <w:tc>
          <w:tcPr>
            <w:tcW w:w="0" w:type="auto"/>
            <w:vAlign w:val="center"/>
          </w:tcPr>
          <w:p w:rsidR="00733ACD" w:rsidRPr="002B2026" w:rsidRDefault="00D506AB" w:rsidP="009B52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6 301,7</w:t>
            </w:r>
          </w:p>
        </w:tc>
      </w:tr>
    </w:tbl>
    <w:p w:rsidR="00E0463A" w:rsidRDefault="00E0463A" w:rsidP="006D7991">
      <w:pPr>
        <w:ind w:firstLine="708"/>
        <w:jc w:val="both"/>
        <w:rPr>
          <w:b/>
          <w:i/>
          <w:sz w:val="28"/>
          <w:szCs w:val="28"/>
        </w:rPr>
      </w:pPr>
    </w:p>
    <w:p w:rsidR="007806E0" w:rsidRDefault="00E0463A" w:rsidP="006D7991">
      <w:pPr>
        <w:ind w:firstLine="708"/>
        <w:jc w:val="both"/>
        <w:rPr>
          <w:sz w:val="28"/>
          <w:szCs w:val="28"/>
        </w:rPr>
      </w:pPr>
      <w:r w:rsidRPr="00590E65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8</w:t>
      </w:r>
      <w:r w:rsidRPr="00590E65">
        <w:rPr>
          <w:sz w:val="28"/>
          <w:szCs w:val="28"/>
        </w:rPr>
        <w:t xml:space="preserve"> «Распределение средств на реализацию муниципальной программы «Развитие территории Шольского сельского поселения</w:t>
      </w:r>
      <w:r>
        <w:rPr>
          <w:sz w:val="28"/>
          <w:szCs w:val="28"/>
        </w:rPr>
        <w:t xml:space="preserve"> на 2021</w:t>
      </w:r>
      <w:r w:rsidRPr="00590E6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90E65">
        <w:rPr>
          <w:sz w:val="28"/>
          <w:szCs w:val="28"/>
        </w:rPr>
        <w:t xml:space="preserve">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93710E" w:rsidRPr="00446BD9" w:rsidRDefault="0093710E" w:rsidP="0093710E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6</w:t>
      </w:r>
      <w:r w:rsidRPr="002B202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9"/>
        <w:gridCol w:w="436"/>
        <w:gridCol w:w="436"/>
        <w:gridCol w:w="1340"/>
        <w:gridCol w:w="1340"/>
        <w:gridCol w:w="1055"/>
        <w:gridCol w:w="1055"/>
        <w:gridCol w:w="1385"/>
        <w:gridCol w:w="1385"/>
      </w:tblGrid>
      <w:tr w:rsidR="00E0463A" w:rsidTr="00E0463A"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Pr="00995053" w:rsidRDefault="00E0463A" w:rsidP="00E0463A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Pr="00995053" w:rsidRDefault="00E0463A" w:rsidP="00E0463A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Pr="00995053" w:rsidRDefault="00E0463A" w:rsidP="00E0463A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Pr="00995053" w:rsidRDefault="00E0463A" w:rsidP="00E0463A">
            <w:pPr>
              <w:jc w:val="center"/>
            </w:pPr>
            <w:r w:rsidRPr="00995053">
              <w:t>Утверждено по бюджету</w:t>
            </w:r>
          </w:p>
          <w:p w:rsidR="00E0463A" w:rsidRPr="00995053" w:rsidRDefault="00F30967" w:rsidP="00E0463A">
            <w:pPr>
              <w:jc w:val="center"/>
            </w:pPr>
            <w:r>
              <w:t>на 2021</w:t>
            </w:r>
            <w:r w:rsidR="00E0463A" w:rsidRPr="00995053">
              <w:t xml:space="preserve"> год</w:t>
            </w:r>
          </w:p>
          <w:p w:rsidR="00E0463A" w:rsidRPr="00995053" w:rsidRDefault="00E0463A" w:rsidP="00E0463A">
            <w:pPr>
              <w:jc w:val="center"/>
            </w:pPr>
            <w:r w:rsidRPr="002F3597">
              <w:t xml:space="preserve">(решение от </w:t>
            </w:r>
            <w:r w:rsidR="00F30967" w:rsidRPr="00F30967">
              <w:t>25.12.2019 № 35</w:t>
            </w:r>
            <w:r w:rsidRPr="002F3597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Default="00E0463A" w:rsidP="00E0463A">
            <w:pPr>
              <w:jc w:val="center"/>
            </w:pPr>
            <w:r>
              <w:t>Утверждено по бюджету</w:t>
            </w:r>
          </w:p>
          <w:p w:rsidR="00E0463A" w:rsidRDefault="00F30967" w:rsidP="00E0463A">
            <w:pPr>
              <w:jc w:val="center"/>
            </w:pPr>
            <w:r>
              <w:t>на 2022</w:t>
            </w:r>
            <w:r w:rsidR="00E0463A">
              <w:t xml:space="preserve"> год</w:t>
            </w:r>
          </w:p>
          <w:p w:rsidR="00E0463A" w:rsidRPr="00995053" w:rsidRDefault="00E0463A" w:rsidP="00E0463A">
            <w:pPr>
              <w:jc w:val="center"/>
            </w:pPr>
            <w:r>
              <w:t xml:space="preserve">(решение от </w:t>
            </w:r>
            <w:r w:rsidR="00F30967" w:rsidRPr="00F30967">
              <w:t>25.12.2019 № 35</w:t>
            </w:r>
            <w: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Default="00E0463A" w:rsidP="00E0463A">
            <w:pPr>
              <w:jc w:val="center"/>
            </w:pPr>
            <w:r w:rsidRPr="00995053">
              <w:t>Поправки</w:t>
            </w:r>
          </w:p>
          <w:p w:rsidR="00F30967" w:rsidRPr="00995053" w:rsidRDefault="00F30967" w:rsidP="00E0463A">
            <w:pPr>
              <w:jc w:val="center"/>
            </w:pPr>
            <w:r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Default="00E0463A" w:rsidP="00E0463A">
            <w:pPr>
              <w:jc w:val="center"/>
            </w:pPr>
            <w:r w:rsidRPr="00E0463A">
              <w:t>Поправки</w:t>
            </w:r>
          </w:p>
          <w:p w:rsidR="00F30967" w:rsidRPr="00995053" w:rsidRDefault="00F30967" w:rsidP="00E0463A">
            <w:pPr>
              <w:jc w:val="center"/>
            </w:pPr>
            <w:r>
              <w:t>2022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Pr="00995053" w:rsidRDefault="00E0463A" w:rsidP="00E0463A">
            <w:pPr>
              <w:jc w:val="center"/>
            </w:pPr>
            <w:r w:rsidRPr="00995053">
              <w:t>Уточненный бюджет на 202</w:t>
            </w:r>
            <w:r w:rsidR="00F30967">
              <w:t>1</w:t>
            </w:r>
            <w:r w:rsidRPr="00995053">
              <w:t xml:space="preserve"> год</w:t>
            </w:r>
          </w:p>
          <w:p w:rsidR="00E0463A" w:rsidRPr="00995053" w:rsidRDefault="00E0463A" w:rsidP="00E0463A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0463A" w:rsidRDefault="00E0463A" w:rsidP="00E0463A">
            <w:pPr>
              <w:jc w:val="center"/>
            </w:pPr>
            <w:r>
              <w:t>Уточненный бюджет на 202</w:t>
            </w:r>
            <w:r w:rsidR="00F30967">
              <w:t>2</w:t>
            </w:r>
            <w:r>
              <w:t xml:space="preserve"> год</w:t>
            </w:r>
          </w:p>
          <w:p w:rsidR="00E0463A" w:rsidRPr="00995053" w:rsidRDefault="00E0463A" w:rsidP="00E0463A">
            <w:pPr>
              <w:jc w:val="center"/>
            </w:pPr>
            <w:r>
              <w:t>(проект решения)</w:t>
            </w:r>
          </w:p>
        </w:tc>
      </w:tr>
      <w:tr w:rsidR="00E0463A" w:rsidTr="00E0463A">
        <w:tc>
          <w:tcPr>
            <w:tcW w:w="0" w:type="auto"/>
          </w:tcPr>
          <w:p w:rsidR="00E0463A" w:rsidRPr="0010082B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0463A" w:rsidRDefault="00E0463A" w:rsidP="009A38B5">
            <w:pPr>
              <w:jc w:val="center"/>
              <w:rPr>
                <w:sz w:val="22"/>
                <w:szCs w:val="22"/>
              </w:rPr>
            </w:pPr>
          </w:p>
        </w:tc>
      </w:tr>
      <w:tr w:rsidR="00F30967" w:rsidTr="00F30967">
        <w:tc>
          <w:tcPr>
            <w:tcW w:w="0" w:type="auto"/>
          </w:tcPr>
          <w:p w:rsidR="00F30967" w:rsidRDefault="00F30967" w:rsidP="009A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F30967" w:rsidTr="00F30967">
        <w:tc>
          <w:tcPr>
            <w:tcW w:w="0" w:type="auto"/>
          </w:tcPr>
          <w:p w:rsidR="00F30967" w:rsidRDefault="00F30967" w:rsidP="009A38B5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1 670,3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1 588,0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-747,2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-747,2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840,8</w:t>
            </w:r>
          </w:p>
        </w:tc>
      </w:tr>
      <w:tr w:rsidR="00F30967" w:rsidTr="00F30967">
        <w:tc>
          <w:tcPr>
            <w:tcW w:w="0" w:type="auto"/>
          </w:tcPr>
          <w:p w:rsidR="00F30967" w:rsidRPr="002D4AE8" w:rsidRDefault="00F30967" w:rsidP="009A3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30967" w:rsidTr="00F30967">
        <w:tc>
          <w:tcPr>
            <w:tcW w:w="0" w:type="auto"/>
          </w:tcPr>
          <w:p w:rsidR="00F30967" w:rsidRDefault="00F30967" w:rsidP="009A38B5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vAlign w:val="center"/>
          </w:tcPr>
          <w:p w:rsidR="00F30967" w:rsidRDefault="00F30967" w:rsidP="009A3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F30967" w:rsidTr="00F30967">
        <w:tc>
          <w:tcPr>
            <w:tcW w:w="0" w:type="auto"/>
          </w:tcPr>
          <w:p w:rsidR="00F30967" w:rsidRPr="002B2026" w:rsidRDefault="00F30967" w:rsidP="009A38B5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F30967" w:rsidRPr="002B2026" w:rsidRDefault="00F30967" w:rsidP="009A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Pr="002B2026" w:rsidRDefault="00F30967" w:rsidP="009A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0967" w:rsidRPr="002B2026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2 001,1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1 918,0</w:t>
            </w:r>
          </w:p>
        </w:tc>
        <w:tc>
          <w:tcPr>
            <w:tcW w:w="0" w:type="auto"/>
            <w:vAlign w:val="center"/>
          </w:tcPr>
          <w:p w:rsidR="00F30967" w:rsidRPr="002B2026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-747,2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-747,2</w:t>
            </w:r>
          </w:p>
        </w:tc>
        <w:tc>
          <w:tcPr>
            <w:tcW w:w="0" w:type="auto"/>
            <w:vAlign w:val="center"/>
          </w:tcPr>
          <w:p w:rsidR="00F30967" w:rsidRPr="002B2026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1 253,9</w:t>
            </w:r>
          </w:p>
        </w:tc>
        <w:tc>
          <w:tcPr>
            <w:tcW w:w="0" w:type="auto"/>
            <w:vAlign w:val="center"/>
          </w:tcPr>
          <w:p w:rsidR="00F30967" w:rsidRDefault="00F30967" w:rsidP="00F3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1 170,8</w:t>
            </w:r>
          </w:p>
        </w:tc>
      </w:tr>
    </w:tbl>
    <w:p w:rsidR="00E0463A" w:rsidRDefault="00E0463A" w:rsidP="006D7991">
      <w:pPr>
        <w:ind w:firstLine="708"/>
        <w:jc w:val="both"/>
        <w:rPr>
          <w:b/>
          <w:i/>
          <w:sz w:val="28"/>
          <w:szCs w:val="28"/>
        </w:rPr>
      </w:pPr>
    </w:p>
    <w:p w:rsidR="006D7991" w:rsidRDefault="006D7991" w:rsidP="006D7991">
      <w:pPr>
        <w:ind w:firstLine="708"/>
        <w:jc w:val="both"/>
        <w:rPr>
          <w:b/>
          <w:bCs/>
          <w:sz w:val="28"/>
          <w:szCs w:val="28"/>
        </w:rPr>
      </w:pPr>
      <w:r w:rsidRPr="00B11F9C">
        <w:rPr>
          <w:b/>
          <w:i/>
          <w:sz w:val="28"/>
          <w:szCs w:val="28"/>
        </w:rPr>
        <w:t>Приложение 10</w:t>
      </w:r>
      <w:r w:rsidRPr="00B11F9C">
        <w:rPr>
          <w:sz w:val="28"/>
          <w:szCs w:val="28"/>
        </w:rPr>
        <w:t xml:space="preserve"> «Межбюджетные трансферты, передаваемые бюджету </w:t>
      </w:r>
      <w:r w:rsidR="00CA74D0" w:rsidRPr="00B11F9C">
        <w:rPr>
          <w:sz w:val="28"/>
          <w:szCs w:val="28"/>
        </w:rPr>
        <w:t>Шольского</w:t>
      </w:r>
      <w:r w:rsidRPr="00B11F9C">
        <w:rPr>
          <w:sz w:val="28"/>
          <w:szCs w:val="28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 </w:t>
      </w:r>
      <w:r w:rsidR="008B06B8" w:rsidRPr="00B11F9C">
        <w:rPr>
          <w:sz w:val="28"/>
          <w:szCs w:val="28"/>
        </w:rPr>
        <w:t xml:space="preserve">увеличив объем межбюджетных трансфертов на </w:t>
      </w:r>
      <w:r w:rsidR="00B11F9C" w:rsidRPr="00B11F9C">
        <w:rPr>
          <w:sz w:val="28"/>
          <w:szCs w:val="28"/>
        </w:rPr>
        <w:t>496,0</w:t>
      </w:r>
      <w:r w:rsidR="008B06B8" w:rsidRPr="00B11F9C">
        <w:rPr>
          <w:sz w:val="28"/>
          <w:szCs w:val="28"/>
        </w:rPr>
        <w:t xml:space="preserve"> тыс. рублей</w:t>
      </w:r>
      <w:r w:rsidR="00B11F9C">
        <w:rPr>
          <w:sz w:val="28"/>
          <w:szCs w:val="28"/>
        </w:rPr>
        <w:t>.</w:t>
      </w:r>
    </w:p>
    <w:p w:rsidR="007806E0" w:rsidRDefault="007806E0" w:rsidP="00B11F9C">
      <w:pPr>
        <w:ind w:firstLine="708"/>
        <w:jc w:val="both"/>
        <w:rPr>
          <w:b/>
          <w:i/>
          <w:sz w:val="28"/>
          <w:szCs w:val="28"/>
        </w:rPr>
      </w:pPr>
    </w:p>
    <w:p w:rsidR="00B11F9C" w:rsidRDefault="00B11F9C" w:rsidP="00B11F9C">
      <w:pPr>
        <w:ind w:firstLine="708"/>
        <w:jc w:val="both"/>
        <w:rPr>
          <w:b/>
          <w:bCs/>
          <w:sz w:val="28"/>
          <w:szCs w:val="28"/>
        </w:rPr>
      </w:pPr>
      <w:r w:rsidRPr="00B11F9C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1</w:t>
      </w:r>
      <w:r w:rsidRPr="00B11F9C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объемов м</w:t>
      </w:r>
      <w:r w:rsidRPr="00B11F9C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B11F9C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11F9C">
        <w:rPr>
          <w:sz w:val="28"/>
          <w:szCs w:val="28"/>
        </w:rPr>
        <w:t xml:space="preserve"> бюджету Шольского сельского поселения</w:t>
      </w:r>
      <w:r>
        <w:rPr>
          <w:sz w:val="28"/>
          <w:szCs w:val="28"/>
        </w:rPr>
        <w:t xml:space="preserve"> за счет средств Дорожного фонда Белозерского муниципального района на 2020 год</w:t>
      </w:r>
      <w:r w:rsidRPr="00B11F9C">
        <w:rPr>
          <w:sz w:val="28"/>
          <w:szCs w:val="28"/>
        </w:rPr>
        <w:t xml:space="preserve">» предлагается изложить в новой редакции увеличив объем межбюджетных трансфертов на </w:t>
      </w:r>
      <w:r>
        <w:rPr>
          <w:sz w:val="28"/>
          <w:szCs w:val="28"/>
        </w:rPr>
        <w:t>450,</w:t>
      </w:r>
      <w:r w:rsidRPr="00B11F9C">
        <w:rPr>
          <w:sz w:val="28"/>
          <w:szCs w:val="28"/>
        </w:rPr>
        <w:t>0 тыс. рублей</w:t>
      </w:r>
      <w:r>
        <w:rPr>
          <w:sz w:val="28"/>
          <w:szCs w:val="28"/>
        </w:rPr>
        <w:t>.</w:t>
      </w:r>
    </w:p>
    <w:p w:rsidR="00CA74D0" w:rsidRDefault="00CA74D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DD7E57" w:rsidRDefault="00A71D40" w:rsidP="00005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DD7E57" w:rsidRDefault="000B4440" w:rsidP="000B4440">
      <w:pPr>
        <w:tabs>
          <w:tab w:val="left" w:pos="2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8239C" w:rsidRPr="000B4440" w:rsidRDefault="00A71D40" w:rsidP="00CA74D0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8"/>
          <w:szCs w:val="28"/>
        </w:rPr>
      </w:pPr>
      <w:proofErr w:type="gramStart"/>
      <w:r w:rsidRPr="000B4440">
        <w:rPr>
          <w:sz w:val="28"/>
          <w:szCs w:val="28"/>
        </w:rPr>
        <w:t xml:space="preserve">Представленный проект </w:t>
      </w:r>
      <w:r w:rsidRPr="000B4440">
        <w:rPr>
          <w:color w:val="000000"/>
          <w:spacing w:val="1"/>
          <w:sz w:val="28"/>
          <w:szCs w:val="28"/>
        </w:rPr>
        <w:t>решения Совета</w:t>
      </w:r>
      <w:r w:rsidR="001B409B" w:rsidRPr="000B4440">
        <w:rPr>
          <w:color w:val="000000"/>
          <w:spacing w:val="1"/>
          <w:sz w:val="28"/>
          <w:szCs w:val="28"/>
        </w:rPr>
        <w:t xml:space="preserve">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706274" w:rsidRPr="000B4440">
        <w:rPr>
          <w:color w:val="000000"/>
          <w:spacing w:val="1"/>
          <w:sz w:val="28"/>
          <w:szCs w:val="28"/>
        </w:rPr>
        <w:t xml:space="preserve"> 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961F20" w:rsidRPr="000B4440">
        <w:rPr>
          <w:color w:val="000000"/>
          <w:spacing w:val="1"/>
          <w:sz w:val="28"/>
          <w:szCs w:val="28"/>
        </w:rPr>
        <w:t>о</w:t>
      </w:r>
      <w:r w:rsidRPr="000B4440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0B4440" w:rsidRPr="000B4440">
        <w:rPr>
          <w:color w:val="000000"/>
          <w:spacing w:val="1"/>
          <w:sz w:val="28"/>
          <w:szCs w:val="28"/>
        </w:rPr>
        <w:t xml:space="preserve"> </w:t>
      </w:r>
      <w:r w:rsidR="00706274" w:rsidRPr="000B4440">
        <w:rPr>
          <w:color w:val="000000"/>
          <w:spacing w:val="1"/>
          <w:sz w:val="28"/>
          <w:szCs w:val="28"/>
        </w:rPr>
        <w:t xml:space="preserve">сельского поселения </w:t>
      </w:r>
      <w:r w:rsidR="00346B2A" w:rsidRPr="000B4440">
        <w:rPr>
          <w:color w:val="000000"/>
          <w:spacing w:val="1"/>
          <w:sz w:val="28"/>
          <w:szCs w:val="28"/>
        </w:rPr>
        <w:t xml:space="preserve">от </w:t>
      </w:r>
      <w:r w:rsidR="00F26817" w:rsidRPr="000B4440">
        <w:rPr>
          <w:color w:val="000000"/>
          <w:spacing w:val="1"/>
          <w:sz w:val="28"/>
          <w:szCs w:val="28"/>
        </w:rPr>
        <w:t>2</w:t>
      </w:r>
      <w:r w:rsidR="00CA74D0">
        <w:rPr>
          <w:color w:val="000000"/>
          <w:spacing w:val="1"/>
          <w:sz w:val="28"/>
          <w:szCs w:val="28"/>
        </w:rPr>
        <w:t>5</w:t>
      </w:r>
      <w:r w:rsidR="00F26817" w:rsidRPr="000B4440">
        <w:rPr>
          <w:color w:val="000000"/>
          <w:spacing w:val="1"/>
          <w:sz w:val="28"/>
          <w:szCs w:val="28"/>
        </w:rPr>
        <w:t xml:space="preserve">.12.2019 № </w:t>
      </w:r>
      <w:r w:rsidR="00CA74D0">
        <w:rPr>
          <w:color w:val="000000"/>
          <w:spacing w:val="1"/>
          <w:sz w:val="28"/>
          <w:szCs w:val="28"/>
        </w:rPr>
        <w:t>35</w:t>
      </w:r>
      <w:r w:rsidR="00F26817" w:rsidRPr="000B4440">
        <w:rPr>
          <w:color w:val="000000"/>
          <w:spacing w:val="1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 xml:space="preserve">«О бюджете </w:t>
      </w:r>
      <w:r w:rsidR="00CA74D0" w:rsidRPr="00CA74D0">
        <w:rPr>
          <w:color w:val="000000"/>
          <w:sz w:val="28"/>
          <w:szCs w:val="28"/>
        </w:rPr>
        <w:t xml:space="preserve">Шольского </w:t>
      </w:r>
      <w:r w:rsidR="00706274" w:rsidRPr="000B4440">
        <w:rPr>
          <w:color w:val="000000"/>
          <w:sz w:val="28"/>
          <w:szCs w:val="28"/>
        </w:rPr>
        <w:t>сельского поселения</w:t>
      </w:r>
      <w:r w:rsidR="00557B36" w:rsidRPr="000B4440">
        <w:rPr>
          <w:color w:val="000000"/>
          <w:sz w:val="28"/>
          <w:szCs w:val="28"/>
        </w:rPr>
        <w:t xml:space="preserve"> </w:t>
      </w:r>
      <w:r w:rsidR="00346B2A" w:rsidRPr="000B4440">
        <w:rPr>
          <w:color w:val="000000"/>
          <w:sz w:val="28"/>
          <w:szCs w:val="28"/>
        </w:rPr>
        <w:t>на 20</w:t>
      </w:r>
      <w:r w:rsidR="002A5A3F" w:rsidRPr="000B4440">
        <w:rPr>
          <w:color w:val="000000"/>
          <w:sz w:val="28"/>
          <w:szCs w:val="28"/>
        </w:rPr>
        <w:t>20</w:t>
      </w:r>
      <w:r w:rsidR="00346B2A" w:rsidRPr="000B4440">
        <w:rPr>
          <w:color w:val="000000"/>
          <w:sz w:val="28"/>
          <w:szCs w:val="28"/>
        </w:rPr>
        <w:t xml:space="preserve"> год</w:t>
      </w:r>
      <w:r w:rsidR="00A74FE2" w:rsidRPr="000B4440">
        <w:rPr>
          <w:color w:val="000000"/>
          <w:sz w:val="28"/>
          <w:szCs w:val="28"/>
        </w:rPr>
        <w:t xml:space="preserve"> и плановый период 20</w:t>
      </w:r>
      <w:r w:rsidR="00CE0305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1</w:t>
      </w:r>
      <w:r w:rsidR="00A74FE2" w:rsidRPr="000B4440">
        <w:rPr>
          <w:color w:val="000000"/>
          <w:sz w:val="28"/>
          <w:szCs w:val="28"/>
        </w:rPr>
        <w:t xml:space="preserve"> и 20</w:t>
      </w:r>
      <w:r w:rsidR="002A778C" w:rsidRPr="000B4440">
        <w:rPr>
          <w:color w:val="000000"/>
          <w:sz w:val="28"/>
          <w:szCs w:val="28"/>
        </w:rPr>
        <w:t>2</w:t>
      </w:r>
      <w:r w:rsidR="002A5A3F" w:rsidRPr="000B4440">
        <w:rPr>
          <w:color w:val="000000"/>
          <w:sz w:val="28"/>
          <w:szCs w:val="28"/>
        </w:rPr>
        <w:t>2</w:t>
      </w:r>
      <w:r w:rsidR="00A74FE2" w:rsidRPr="000B4440">
        <w:rPr>
          <w:color w:val="000000"/>
          <w:sz w:val="28"/>
          <w:szCs w:val="28"/>
        </w:rPr>
        <w:t xml:space="preserve"> годов</w:t>
      </w:r>
      <w:r w:rsidR="00346B2A" w:rsidRPr="000B4440">
        <w:rPr>
          <w:color w:val="000000"/>
          <w:sz w:val="28"/>
          <w:szCs w:val="28"/>
        </w:rPr>
        <w:t>»</w:t>
      </w:r>
      <w:r w:rsidR="00346B2A" w:rsidRPr="000B4440">
        <w:rPr>
          <w:color w:val="000000"/>
          <w:spacing w:val="2"/>
          <w:sz w:val="28"/>
          <w:szCs w:val="28"/>
        </w:rPr>
        <w:t xml:space="preserve"> </w:t>
      </w:r>
      <w:r w:rsidRPr="000B444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CA74D0">
        <w:rPr>
          <w:color w:val="000000"/>
          <w:spacing w:val="1"/>
          <w:sz w:val="28"/>
          <w:szCs w:val="28"/>
        </w:rPr>
        <w:t>Шольского</w:t>
      </w:r>
      <w:r w:rsidR="000B4440" w:rsidRPr="000B4440">
        <w:rPr>
          <w:color w:val="000000"/>
          <w:spacing w:val="1"/>
          <w:sz w:val="28"/>
          <w:szCs w:val="28"/>
        </w:rPr>
        <w:t xml:space="preserve"> </w:t>
      </w:r>
      <w:r w:rsidR="00706274" w:rsidRPr="000B4440">
        <w:rPr>
          <w:color w:val="000000"/>
          <w:spacing w:val="1"/>
          <w:sz w:val="28"/>
          <w:szCs w:val="28"/>
        </w:rPr>
        <w:t>сельского поселения</w:t>
      </w:r>
      <w:r w:rsidR="00153FB1" w:rsidRPr="000B4440">
        <w:rPr>
          <w:color w:val="000000"/>
          <w:spacing w:val="1"/>
          <w:sz w:val="28"/>
          <w:szCs w:val="28"/>
        </w:rPr>
        <w:t xml:space="preserve"> </w:t>
      </w:r>
      <w:r w:rsidR="000B7EA6" w:rsidRPr="000B4440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0B4440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B12F5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Аудитор</w:t>
      </w:r>
    </w:p>
    <w:p w:rsidR="00F22E52" w:rsidRPr="00F22E52" w:rsidRDefault="002D7C8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F22E52">
        <w:rPr>
          <w:color w:val="000000"/>
          <w:spacing w:val="1"/>
          <w:sz w:val="28"/>
          <w:szCs w:val="28"/>
        </w:rPr>
        <w:t xml:space="preserve">онтрольно-счетного органа района                                          </w:t>
      </w:r>
      <w:r w:rsidR="00B12F59">
        <w:rPr>
          <w:color w:val="000000"/>
          <w:spacing w:val="1"/>
          <w:sz w:val="28"/>
          <w:szCs w:val="28"/>
        </w:rPr>
        <w:t xml:space="preserve">     М.А.</w:t>
      </w:r>
      <w:r w:rsidR="00AF2226">
        <w:rPr>
          <w:color w:val="000000"/>
          <w:spacing w:val="1"/>
          <w:sz w:val="28"/>
          <w:szCs w:val="28"/>
        </w:rPr>
        <w:t xml:space="preserve"> </w:t>
      </w:r>
      <w:r w:rsidR="00B12F59">
        <w:rPr>
          <w:color w:val="000000"/>
          <w:spacing w:val="1"/>
          <w:sz w:val="28"/>
          <w:szCs w:val="28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A0" w:rsidRDefault="00984CA0" w:rsidP="00AB165F">
      <w:r>
        <w:separator/>
      </w:r>
    </w:p>
  </w:endnote>
  <w:endnote w:type="continuationSeparator" w:id="0">
    <w:p w:rsidR="00984CA0" w:rsidRDefault="00984CA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A0" w:rsidRDefault="00984CA0" w:rsidP="00AB165F">
      <w:r>
        <w:separator/>
      </w:r>
    </w:p>
  </w:footnote>
  <w:footnote w:type="continuationSeparator" w:id="0">
    <w:p w:rsidR="00984CA0" w:rsidRDefault="00984CA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A15CA" w:rsidRDefault="005A1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DF">
          <w:rPr>
            <w:noProof/>
          </w:rPr>
          <w:t>5</w:t>
        </w:r>
        <w:r>
          <w:fldChar w:fldCharType="end"/>
        </w:r>
      </w:p>
    </w:sdtContent>
  </w:sdt>
  <w:p w:rsidR="005A15CA" w:rsidRDefault="005A1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26"/>
  </w:num>
  <w:num w:numId="22">
    <w:abstractNumId w:val="7"/>
  </w:num>
  <w:num w:numId="23">
    <w:abstractNumId w:val="27"/>
  </w:num>
  <w:num w:numId="24">
    <w:abstractNumId w:val="3"/>
  </w:num>
  <w:num w:numId="25">
    <w:abstractNumId w:val="8"/>
  </w:num>
  <w:num w:numId="26">
    <w:abstractNumId w:val="19"/>
  </w:num>
  <w:num w:numId="27">
    <w:abstractNumId w:val="20"/>
  </w:num>
  <w:num w:numId="28">
    <w:abstractNumId w:val="28"/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1542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3155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38D5"/>
    <w:rsid w:val="00197004"/>
    <w:rsid w:val="001970A2"/>
    <w:rsid w:val="001973D4"/>
    <w:rsid w:val="001A04DF"/>
    <w:rsid w:val="001A1026"/>
    <w:rsid w:val="001A161B"/>
    <w:rsid w:val="001A5AF4"/>
    <w:rsid w:val="001A5C41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5E6D"/>
    <w:rsid w:val="001F0DDE"/>
    <w:rsid w:val="001F0DE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743A"/>
    <w:rsid w:val="00310B14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CCB"/>
    <w:rsid w:val="00386003"/>
    <w:rsid w:val="00386461"/>
    <w:rsid w:val="003865DD"/>
    <w:rsid w:val="003909B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6DF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59E9"/>
    <w:rsid w:val="00456233"/>
    <w:rsid w:val="00460BA7"/>
    <w:rsid w:val="004624B6"/>
    <w:rsid w:val="0046388D"/>
    <w:rsid w:val="00463F6F"/>
    <w:rsid w:val="00467CAC"/>
    <w:rsid w:val="00472BEE"/>
    <w:rsid w:val="00473C17"/>
    <w:rsid w:val="0047458B"/>
    <w:rsid w:val="00474DBF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472"/>
    <w:rsid w:val="004C3F2E"/>
    <w:rsid w:val="004C5779"/>
    <w:rsid w:val="004C68DD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BF2"/>
    <w:rsid w:val="004E4F96"/>
    <w:rsid w:val="004E502E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18B8"/>
    <w:rsid w:val="0058214B"/>
    <w:rsid w:val="00582623"/>
    <w:rsid w:val="00583842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409E"/>
    <w:rsid w:val="005A4728"/>
    <w:rsid w:val="005B0A71"/>
    <w:rsid w:val="005B3491"/>
    <w:rsid w:val="005B39F3"/>
    <w:rsid w:val="005B3F09"/>
    <w:rsid w:val="005B60B3"/>
    <w:rsid w:val="005B7012"/>
    <w:rsid w:val="005B7E0B"/>
    <w:rsid w:val="005C3BB5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39A7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DAD"/>
    <w:rsid w:val="00694554"/>
    <w:rsid w:val="0069476B"/>
    <w:rsid w:val="00695646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6998"/>
    <w:rsid w:val="006E7B49"/>
    <w:rsid w:val="006F0236"/>
    <w:rsid w:val="006F4D2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3ACD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53D2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13AF"/>
    <w:rsid w:val="007B1BEA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3650"/>
    <w:rsid w:val="0081575A"/>
    <w:rsid w:val="00816915"/>
    <w:rsid w:val="008174D1"/>
    <w:rsid w:val="00817C17"/>
    <w:rsid w:val="00820FBC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382"/>
    <w:rsid w:val="008F6F82"/>
    <w:rsid w:val="008F7D15"/>
    <w:rsid w:val="00901C8F"/>
    <w:rsid w:val="00903517"/>
    <w:rsid w:val="00904DF1"/>
    <w:rsid w:val="00905FE3"/>
    <w:rsid w:val="0090676C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650C"/>
    <w:rsid w:val="0093710E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4CA0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40E3"/>
    <w:rsid w:val="00A54515"/>
    <w:rsid w:val="00A571CF"/>
    <w:rsid w:val="00A576BC"/>
    <w:rsid w:val="00A604C3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AE3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0753"/>
    <w:rsid w:val="00B023BB"/>
    <w:rsid w:val="00B03023"/>
    <w:rsid w:val="00B04298"/>
    <w:rsid w:val="00B04411"/>
    <w:rsid w:val="00B045AA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1C68"/>
    <w:rsid w:val="00B42F7C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1E2E"/>
    <w:rsid w:val="00B7752F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608C"/>
    <w:rsid w:val="00BB1794"/>
    <w:rsid w:val="00BB1BAD"/>
    <w:rsid w:val="00BB3EAB"/>
    <w:rsid w:val="00BC051D"/>
    <w:rsid w:val="00BC0E2D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86E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7D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6AB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952"/>
    <w:rsid w:val="00DF6B07"/>
    <w:rsid w:val="00DF72D3"/>
    <w:rsid w:val="00DF7614"/>
    <w:rsid w:val="00E01AE2"/>
    <w:rsid w:val="00E0463A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928"/>
    <w:rsid w:val="00E87AAC"/>
    <w:rsid w:val="00E91B57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463"/>
    <w:rsid w:val="00F62805"/>
    <w:rsid w:val="00F62890"/>
    <w:rsid w:val="00F665B9"/>
    <w:rsid w:val="00F67227"/>
    <w:rsid w:val="00F70474"/>
    <w:rsid w:val="00F71E7B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72AC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D6BA8"/>
    <w:rsid w:val="00FE2E33"/>
    <w:rsid w:val="00FE32BA"/>
    <w:rsid w:val="00FE393F"/>
    <w:rsid w:val="00FE5CD7"/>
    <w:rsid w:val="00FE680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87C5-800B-4224-948B-EA79C40B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143</cp:revision>
  <cp:lastPrinted>2021-01-22T13:00:00Z</cp:lastPrinted>
  <dcterms:created xsi:type="dcterms:W3CDTF">2020-09-25T06:13:00Z</dcterms:created>
  <dcterms:modified xsi:type="dcterms:W3CDTF">2021-02-24T06:48:00Z</dcterms:modified>
</cp:coreProperties>
</file>