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 w:rsidRPr="00E10BE8">
        <w:rPr>
          <w:rFonts w:ascii="Times New Roman" w:eastAsiaTheme="minorEastAsia" w:hAnsi="Times New Roman"/>
          <w:b/>
          <w:bCs/>
        </w:rPr>
        <w:t>КОНТРОЛЬНО-СЧЕТНЫЙ ОРГАН 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:rsidR="00E10BE8" w:rsidRDefault="00334CAF" w:rsidP="00E1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517A5F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517A5F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BE8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E10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E10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0BE8">
                        <w:rPr>
                          <w:sz w:val="24"/>
                          <w:szCs w:val="24"/>
                        </w:rPr>
                        <w:t>17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E10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E10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9436F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отчетности </w:t>
      </w:r>
      <w:r w:rsidR="00741CEE">
        <w:rPr>
          <w:rFonts w:ascii="Times New Roman" w:hAnsi="Times New Roman"/>
          <w:sz w:val="24"/>
          <w:szCs w:val="24"/>
        </w:rPr>
        <w:t>Управления муниципального заказа Белозерского муниципального района</w:t>
      </w:r>
      <w:r w:rsidR="00AF2B1C">
        <w:rPr>
          <w:rFonts w:ascii="Times New Roman" w:hAnsi="Times New Roman"/>
          <w:sz w:val="24"/>
          <w:szCs w:val="24"/>
        </w:rPr>
        <w:t xml:space="preserve"> </w:t>
      </w:r>
      <w:r w:rsidR="00494DE5">
        <w:rPr>
          <w:rFonts w:ascii="Times New Roman" w:hAnsi="Times New Roman"/>
          <w:sz w:val="24"/>
          <w:szCs w:val="24"/>
        </w:rPr>
        <w:t>как главного распорядителя бюджетных средств</w:t>
      </w:r>
      <w:r w:rsidR="006C6F98">
        <w:rPr>
          <w:rFonts w:ascii="Times New Roman" w:hAnsi="Times New Roman"/>
          <w:sz w:val="24"/>
          <w:szCs w:val="24"/>
        </w:rPr>
        <w:t xml:space="preserve"> за 2020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9436F4" w:rsidRPr="0008306B" w:rsidRDefault="009436F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741CE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контрольно-счетного органа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 год, утвержденный приказом от 15.12.2020</w:t>
      </w:r>
      <w:r w:rsidR="004E07B6" w:rsidRPr="004E07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C502F3" w:rsidRDefault="00741CE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контрольно-счетного</w:t>
      </w:r>
      <w:r w:rsidR="00C502F3" w:rsidRPr="00C50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органа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9E04C6">
        <w:rPr>
          <w:rFonts w:ascii="Times New Roman" w:hAnsi="Times New Roman"/>
          <w:sz w:val="24"/>
          <w:szCs w:val="24"/>
        </w:rPr>
        <w:t>10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9E04C6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9E04C6">
        <w:rPr>
          <w:rFonts w:ascii="Times New Roman" w:hAnsi="Times New Roman"/>
          <w:sz w:val="24"/>
          <w:szCs w:val="24"/>
        </w:rPr>
        <w:t>21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9E04C6">
        <w:rPr>
          <w:rFonts w:ascii="Times New Roman" w:hAnsi="Times New Roman"/>
          <w:sz w:val="24"/>
          <w:szCs w:val="24"/>
        </w:rPr>
        <w:t xml:space="preserve"> 2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B81D39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отчетности главного распорядителя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>Управления муниципального заказа 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выполнения бюджетных полномочий ГРБС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B81D3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F83F6B">
        <w:rPr>
          <w:sz w:val="24"/>
          <w:szCs w:val="24"/>
        </w:rPr>
        <w:t>11</w:t>
      </w:r>
      <w:r w:rsidR="00E16F69" w:rsidRPr="00E16F69">
        <w:rPr>
          <w:sz w:val="24"/>
          <w:szCs w:val="24"/>
        </w:rPr>
        <w:t xml:space="preserve"> по </w:t>
      </w:r>
      <w:r w:rsidR="00F83F6B">
        <w:rPr>
          <w:sz w:val="24"/>
          <w:szCs w:val="24"/>
        </w:rPr>
        <w:t>17 марта</w:t>
      </w:r>
      <w:r w:rsidR="00E16F69" w:rsidRPr="00E16F69">
        <w:rPr>
          <w:sz w:val="24"/>
          <w:szCs w:val="24"/>
        </w:rPr>
        <w:t xml:space="preserve"> 20</w:t>
      </w:r>
      <w:r w:rsidR="00F83F6B">
        <w:rPr>
          <w:sz w:val="24"/>
          <w:szCs w:val="24"/>
        </w:rPr>
        <w:t>21</w:t>
      </w:r>
      <w:r w:rsidR="00E16F69"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F83F6B" w:rsidP="00B81D3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муниципального заказа Белозерского муниципального района</w:t>
      </w:r>
    </w:p>
    <w:p w:rsidR="00F83F6B" w:rsidRDefault="00F83F6B" w:rsidP="00F83F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F83F6B" w:rsidP="00B81D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F83F6B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контрольно-счетного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E31034" w:rsidRPr="005B192A"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EE0603" w:rsidRPr="00F83F6B" w:rsidRDefault="00EE0603" w:rsidP="00F83F6B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F6B">
        <w:rPr>
          <w:rFonts w:ascii="Times New Roman" w:hAnsi="Times New Roman"/>
          <w:sz w:val="24"/>
          <w:szCs w:val="24"/>
          <w:lang w:eastAsia="en-US"/>
        </w:rPr>
        <w:t>Бюджетный кодекс Российской Федерации (далее – Бюджетный кодекс)</w:t>
      </w:r>
      <w:r w:rsidR="00363E0D">
        <w:rPr>
          <w:rFonts w:ascii="Times New Roman" w:hAnsi="Times New Roman"/>
          <w:sz w:val="24"/>
          <w:szCs w:val="24"/>
          <w:lang w:eastAsia="en-US"/>
        </w:rPr>
        <w:t>;</w:t>
      </w:r>
    </w:p>
    <w:p w:rsidR="00EE0603" w:rsidRPr="00363E0D" w:rsidRDefault="00EE0603" w:rsidP="00F83F6B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F6B">
        <w:rPr>
          <w:rFonts w:ascii="Times New Roman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</w:t>
      </w:r>
      <w:r w:rsidR="00363E0D">
        <w:rPr>
          <w:rFonts w:ascii="Times New Roman" w:hAnsi="Times New Roman"/>
          <w:sz w:val="24"/>
          <w:szCs w:val="24"/>
          <w:lang w:eastAsia="en-US"/>
        </w:rPr>
        <w:t>;</w:t>
      </w:r>
    </w:p>
    <w:p w:rsidR="00363E0D" w:rsidRDefault="00363E0D" w:rsidP="00363E0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E0D">
        <w:rPr>
          <w:rFonts w:ascii="Times New Roman" w:hAnsi="Times New Roman"/>
          <w:sz w:val="24"/>
          <w:szCs w:val="24"/>
        </w:rPr>
        <w:lastRenderedPageBreak/>
        <w:t>Решение Представительного Собрания Белозерского муниципального района от 23.12.2019 № 104 «О районном бюджете на 2020 год и плановый период 2021 и 2022 годов» (далее – Решение о бюдж</w:t>
      </w:r>
      <w:r>
        <w:rPr>
          <w:rFonts w:ascii="Times New Roman" w:hAnsi="Times New Roman"/>
          <w:sz w:val="24"/>
          <w:szCs w:val="24"/>
        </w:rPr>
        <w:t>ете); сводная бюджетная роспись;</w:t>
      </w:r>
    </w:p>
    <w:p w:rsidR="00363E0D" w:rsidRPr="00363E0D" w:rsidRDefault="00363E0D" w:rsidP="00363E0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E0D">
        <w:rPr>
          <w:rFonts w:ascii="Times New Roman" w:hAnsi="Times New Roman"/>
          <w:sz w:val="24"/>
          <w:szCs w:val="24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644E1" w:rsidRPr="007C10CD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363E0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363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9F7D34">
        <w:rPr>
          <w:rFonts w:ascii="Times New Roman" w:hAnsi="Times New Roman"/>
          <w:sz w:val="24"/>
          <w:szCs w:val="24"/>
        </w:rPr>
        <w:t>1</w:t>
      </w:r>
      <w:r w:rsidR="00D250D6">
        <w:rPr>
          <w:rFonts w:ascii="Times New Roman" w:hAnsi="Times New Roman"/>
          <w:sz w:val="24"/>
          <w:szCs w:val="24"/>
        </w:rPr>
        <w:t>7</w:t>
      </w:r>
      <w:r w:rsidR="000C15A0">
        <w:rPr>
          <w:rFonts w:ascii="Times New Roman" w:hAnsi="Times New Roman"/>
          <w:sz w:val="24"/>
          <w:szCs w:val="24"/>
        </w:rPr>
        <w:t>.0</w:t>
      </w:r>
      <w:r w:rsidR="00E41253">
        <w:rPr>
          <w:rFonts w:ascii="Times New Roman" w:hAnsi="Times New Roman"/>
          <w:sz w:val="24"/>
          <w:szCs w:val="24"/>
        </w:rPr>
        <w:t>3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26799D">
        <w:rPr>
          <w:rFonts w:ascii="Times New Roman" w:hAnsi="Times New Roman"/>
          <w:sz w:val="24"/>
          <w:szCs w:val="24"/>
        </w:rPr>
        <w:t>21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363E0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C0126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26799D">
        <w:rPr>
          <w:rFonts w:ascii="Times New Roman" w:hAnsi="Times New Roman"/>
          <w:sz w:val="24"/>
          <w:szCs w:val="24"/>
        </w:rPr>
        <w:t>21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="0026799D">
        <w:rPr>
          <w:rFonts w:ascii="Times New Roman" w:hAnsi="Times New Roman"/>
          <w:sz w:val="24"/>
          <w:szCs w:val="24"/>
        </w:rPr>
        <w:t>ного органа района</w:t>
      </w:r>
      <w:r w:rsidRPr="009827E9">
        <w:rPr>
          <w:rFonts w:ascii="Times New Roman" w:hAnsi="Times New Roman"/>
          <w:sz w:val="24"/>
          <w:szCs w:val="24"/>
        </w:rPr>
        <w:t xml:space="preserve">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26799D">
        <w:rPr>
          <w:rFonts w:ascii="Times New Roman" w:hAnsi="Times New Roman"/>
          <w:sz w:val="24"/>
          <w:szCs w:val="24"/>
        </w:rPr>
        <w:t>15.12.2020</w:t>
      </w:r>
      <w:r w:rsidR="00B051E2" w:rsidRPr="004E07B6">
        <w:rPr>
          <w:rFonts w:ascii="Times New Roman" w:hAnsi="Times New Roman"/>
          <w:sz w:val="24"/>
          <w:szCs w:val="24"/>
        </w:rPr>
        <w:t xml:space="preserve"> №</w:t>
      </w:r>
      <w:r w:rsidR="0026799D">
        <w:rPr>
          <w:rFonts w:ascii="Times New Roman" w:hAnsi="Times New Roman"/>
          <w:sz w:val="24"/>
          <w:szCs w:val="24"/>
        </w:rPr>
        <w:t xml:space="preserve"> 24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E567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1 359,9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073DA" w:rsidRDefault="00D56ED6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073DA">
        <w:rPr>
          <w:rFonts w:ascii="Times New Roman" w:hAnsi="Times New Roman"/>
          <w:b/>
          <w:sz w:val="24"/>
          <w:szCs w:val="24"/>
        </w:rPr>
        <w:t>следующие нарушения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: </w:t>
      </w:r>
    </w:p>
    <w:p w:rsid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3DA" w:rsidRPr="007073DA" w:rsidRDefault="007073DA" w:rsidP="007073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7073DA">
        <w:rPr>
          <w:rFonts w:ascii="Times New Roman" w:hAnsi="Times New Roman"/>
          <w:sz w:val="24"/>
          <w:szCs w:val="24"/>
        </w:rPr>
        <w:t xml:space="preserve">При  подготовке и сдаче </w:t>
      </w:r>
      <w:r w:rsidRPr="007073DA">
        <w:rPr>
          <w:rFonts w:ascii="Times New Roman" w:hAnsi="Times New Roman"/>
          <w:iCs/>
          <w:sz w:val="24"/>
          <w:szCs w:val="24"/>
        </w:rPr>
        <w:t>годовой бюджетной  отчетности установлено отступление от требований Инструкции № 191н:</w:t>
      </w:r>
    </w:p>
    <w:p w:rsidR="007073DA" w:rsidRPr="007073DA" w:rsidRDefault="007073DA" w:rsidP="007073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73DA">
        <w:rPr>
          <w:rFonts w:ascii="Times New Roman" w:hAnsi="Times New Roman"/>
          <w:iCs/>
          <w:sz w:val="24"/>
          <w:szCs w:val="24"/>
        </w:rPr>
        <w:t>в нарушение пункта 170.2 Инструкции 191н в составе форм к Пояснительной записке не представлена форма 0503175 «С</w:t>
      </w:r>
      <w:r w:rsidRPr="007073DA">
        <w:rPr>
          <w:rFonts w:ascii="Times New Roman" w:hAnsi="Times New Roman"/>
          <w:sz w:val="24"/>
          <w:szCs w:val="24"/>
        </w:rPr>
        <w:t>ведения о принятых и неисполненных обязательствах получателя бюджетных средств». В нарушении п.8 Инструкции 191н информация по данной  форме, не имеющей цифрового значения, не отражена в Пояснительной записке;</w:t>
      </w:r>
    </w:p>
    <w:p w:rsidR="007073DA" w:rsidRPr="007073DA" w:rsidRDefault="007073DA" w:rsidP="007073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73DA">
        <w:rPr>
          <w:rFonts w:ascii="Times New Roman" w:hAnsi="Times New Roman"/>
          <w:iCs/>
          <w:sz w:val="24"/>
          <w:szCs w:val="24"/>
        </w:rPr>
        <w:t>в нарушение п. 8 инструкции 191н информация о форме 050166 «Сведения об исполнении мероприятий в рамках целевых программ», не имеющей числового значения, не отражена в Пояснительной записке;</w:t>
      </w:r>
    </w:p>
    <w:p w:rsidR="007073DA" w:rsidRPr="007073DA" w:rsidRDefault="007073DA" w:rsidP="007073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73DA">
        <w:rPr>
          <w:rFonts w:ascii="Times New Roman" w:hAnsi="Times New Roman"/>
          <w:iCs/>
          <w:sz w:val="24"/>
          <w:szCs w:val="24"/>
        </w:rPr>
        <w:t>в нарушение пункта 11.1 Инструкции 191н в составе таблиц к Пояснительной записке отсутствует таблица 6 «Сведения о проведении инвентаризаций». Данная таблица указана в перечне таблиц, не представленных ввиду отсутствия числового значения. В нарушение п.8 Инструкции 191н информация о результатах проведенной инвентаризации отсутствует и в разделе 5 «Прочие вопросы деятельности субъекта бюджетной отчетности» Пояснительной записки;</w:t>
      </w:r>
    </w:p>
    <w:p w:rsidR="007073DA" w:rsidRPr="007073DA" w:rsidRDefault="007073DA" w:rsidP="007073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073DA">
        <w:rPr>
          <w:rFonts w:ascii="Times New Roman" w:hAnsi="Times New Roman"/>
          <w:sz w:val="24"/>
          <w:szCs w:val="24"/>
        </w:rPr>
        <w:t>в нарушении пункта 152 Инструкции 191н не учтены изменения, внесенные приказом Минфина России от 16.12.2020 N 311н в Инструкцию №191н, а именно: в разделе 4 "Анализ показателей бухгалтерской отчетности субъекта бюджетной отчетности»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7073DA">
        <w:rPr>
          <w:rFonts w:ascii="Times New Roman" w:hAnsi="Times New Roman"/>
          <w:sz w:val="24"/>
          <w:szCs w:val="24"/>
        </w:rPr>
        <w:t xml:space="preserve"> финансового года».</w:t>
      </w:r>
    </w:p>
    <w:p w:rsidR="007073DA" w:rsidRDefault="007073DA" w:rsidP="00D606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073DA">
        <w:rPr>
          <w:rFonts w:ascii="Times New Roman" w:hAnsi="Times New Roman"/>
          <w:sz w:val="24"/>
          <w:szCs w:val="24"/>
        </w:rPr>
        <w:t>В нарушение статьи 160.2-1 Бюджетного Кодекса РФ Управлением муниципального заказа района не разработан и не утвержден нормативный правовой акт, обеспечивающий осуществление внутреннего финансового аудита с соблюдением федеральных стандартов</w:t>
      </w:r>
      <w:r w:rsidR="00D606BF">
        <w:rPr>
          <w:rFonts w:ascii="Times New Roman" w:hAnsi="Times New Roman"/>
          <w:sz w:val="24"/>
          <w:szCs w:val="24"/>
        </w:rPr>
        <w:t>.</w:t>
      </w:r>
    </w:p>
    <w:p w:rsidR="00D606BF" w:rsidRPr="00D606BF" w:rsidRDefault="00D606BF" w:rsidP="00D606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952103">
        <w:trPr>
          <w:trHeight w:val="8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B" w:rsidRDefault="00843DAB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63B8" w:rsidRPr="00952103" w:rsidRDefault="00843DAB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A0" w:rsidRDefault="00E246A0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5A7" w:rsidRPr="00952103" w:rsidRDefault="00E246A0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  <w:r w:rsidRPr="00843D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3DAB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86017F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246A0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F60F63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7.14. Нарушение Правил осуществления внутреннего финансового контроля и финансового аудита</w:t>
            </w:r>
            <w:r w:rsidR="002200BB">
              <w:rPr>
                <w:rFonts w:ascii="Times New Roman" w:hAnsi="Times New Roman"/>
              </w:rPr>
              <w:t xml:space="preserve"> (ст. 160.2-1 БК РФ)</w:t>
            </w: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AE3D38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246A0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42E06" w:rsidRPr="00A42E06" w:rsidRDefault="00A42E06" w:rsidP="00A42E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2E06">
        <w:rPr>
          <w:rFonts w:ascii="Times New Roman" w:hAnsi="Times New Roman"/>
          <w:sz w:val="24"/>
          <w:szCs w:val="24"/>
        </w:rPr>
        <w:t>1.Устранить нарушения пунктов 8,11.1,170.2 Инструкции, утвержденной приказом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42E06" w:rsidRPr="00A42E06" w:rsidRDefault="00A42E06" w:rsidP="00A42E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2E0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 соответствии со статьей 160.2-1 Бюджетного кодекса РФ р</w:t>
      </w:r>
      <w:r w:rsidRPr="00A42E06">
        <w:rPr>
          <w:rFonts w:ascii="Times New Roman" w:hAnsi="Times New Roman"/>
          <w:sz w:val="24"/>
          <w:szCs w:val="24"/>
        </w:rPr>
        <w:t>азработать и утвердить нормативный пр</w:t>
      </w:r>
      <w:r>
        <w:rPr>
          <w:rFonts w:ascii="Times New Roman" w:hAnsi="Times New Roman"/>
          <w:sz w:val="24"/>
          <w:szCs w:val="24"/>
        </w:rPr>
        <w:t>авовой акт,  обеспечивающий осу</w:t>
      </w:r>
      <w:r w:rsidRPr="00A42E06">
        <w:rPr>
          <w:rFonts w:ascii="Times New Roman" w:hAnsi="Times New Roman"/>
          <w:sz w:val="24"/>
          <w:szCs w:val="24"/>
        </w:rPr>
        <w:t>ществление внутреннего финансового аудита с соблюдением федеральных стандартов внутреннего финансового аудита.</w:t>
      </w:r>
    </w:p>
    <w:p w:rsidR="00A436DF" w:rsidRDefault="00A436DF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5299" w:rsidRPr="00952103" w:rsidRDefault="00E31034" w:rsidP="0095210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E0890" w:rsidRPr="005E0890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20891" w:rsidRDefault="00E41253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E41253">
        <w:rPr>
          <w:rFonts w:ascii="Times New Roman" w:hAnsi="Times New Roman"/>
          <w:sz w:val="24"/>
          <w:szCs w:val="24"/>
        </w:rPr>
        <w:t>Н.С.Фредериксен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9"/>
  </w:num>
  <w:num w:numId="16">
    <w:abstractNumId w:val="23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2"/>
  </w:num>
  <w:num w:numId="22">
    <w:abstractNumId w:val="2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5E20"/>
    <w:rsid w:val="00096204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4122"/>
    <w:rsid w:val="008B4A5D"/>
    <w:rsid w:val="008C470F"/>
    <w:rsid w:val="008C7768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4763-958D-4647-AEBD-EF6A9138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</cp:revision>
  <cp:lastPrinted>2021-06-02T08:25:00Z</cp:lastPrinted>
  <dcterms:created xsi:type="dcterms:W3CDTF">2021-06-02T06:01:00Z</dcterms:created>
  <dcterms:modified xsi:type="dcterms:W3CDTF">2021-06-02T09:04:00Z</dcterms:modified>
</cp:coreProperties>
</file>