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897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4248A6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FF24EF">
        <w:rPr>
          <w:rFonts w:ascii="Times New Roman CYR" w:hAnsi="Times New Roman CYR"/>
          <w:bCs/>
          <w:sz w:val="28"/>
          <w:szCs w:val="28"/>
        </w:rPr>
        <w:t>43/230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8E008B">
        <w:rPr>
          <w:b/>
          <w:sz w:val="28"/>
          <w:szCs w:val="28"/>
        </w:rPr>
        <w:t>Малининой Татьяны Николаевны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</w:t>
      </w:r>
      <w:bookmarkStart w:id="0" w:name="_GoBack"/>
      <w:r>
        <w:rPr>
          <w:sz w:val="28"/>
          <w:szCs w:val="28"/>
        </w:rPr>
        <w:t>3</w:t>
      </w:r>
      <w:bookmarkEnd w:id="0"/>
      <w:r>
        <w:rPr>
          <w:sz w:val="28"/>
          <w:szCs w:val="28"/>
        </w:rPr>
        <w:t>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8E008B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8E008B">
        <w:rPr>
          <w:sz w:val="28"/>
          <w:szCs w:val="28"/>
        </w:rPr>
        <w:t>1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8E008B">
        <w:rPr>
          <w:b/>
          <w:sz w:val="28"/>
          <w:szCs w:val="28"/>
        </w:rPr>
        <w:t>МАЛИНИНОЙ ТАТЬЯНЫ НИКОЛАЕВНЫ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8E008B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8E008B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8E008B">
        <w:rPr>
          <w:b/>
          <w:sz w:val="28"/>
          <w:szCs w:val="28"/>
        </w:rPr>
        <w:t>МАЛИНИНУ ТАТЬЯНУ НИКОЛАЕВНУ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248A6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4248A6">
        <w:rPr>
          <w:sz w:val="28"/>
          <w:szCs w:val="28"/>
        </w:rPr>
        <w:t>4</w:t>
      </w:r>
      <w:r w:rsidR="008E008B">
        <w:rPr>
          <w:sz w:val="28"/>
          <w:szCs w:val="28"/>
        </w:rPr>
        <w:t>5</w:t>
      </w:r>
      <w:r w:rsidR="00A97A7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Малининой Татьяне Николаевне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40C82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248A6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F1F65"/>
    <w:rsid w:val="008B2927"/>
    <w:rsid w:val="008E008B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EA229A"/>
    <w:rsid w:val="00FD323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2022-07-27T05:48:00Z</cp:lastPrinted>
  <dcterms:created xsi:type="dcterms:W3CDTF">2022-07-26T07:44:00Z</dcterms:created>
  <dcterms:modified xsi:type="dcterms:W3CDTF">2022-07-27T05:49:00Z</dcterms:modified>
</cp:coreProperties>
</file>